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850"/>
        <w:jc w:val="right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-3809</wp:posOffset>
                </wp:positionV>
                <wp:extent cx="599440" cy="75184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944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209.8pt;mso-position-horizontal:absolute;mso-position-vertical-relative:text;margin-top:-0.3pt;mso-position-vertical:absolute;width:47.2pt;height:59.2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5"/>
        <w:jc w:val="right"/>
        <w:shd w:val="clear" w:color="auto" w:fill="auto"/>
        <w:rPr>
          <w:bCs/>
          <w:color w:val="auto"/>
          <w:szCs w:val="28"/>
        </w:rPr>
      </w:pPr>
      <w:r>
        <w:rPr>
          <w:bCs/>
          <w:color w:val="auto"/>
          <w:szCs w:val="28"/>
        </w:rPr>
      </w:r>
      <w:r/>
    </w:p>
    <w:p>
      <w:pPr>
        <w:pStyle w:val="865"/>
        <w:jc w:val="center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65"/>
        <w:jc w:val="center"/>
        <w:shd w:val="clear" w:color="auto" w:fill="auto"/>
        <w:rPr>
          <w:b/>
          <w:bCs/>
          <w:color w:val="auto"/>
          <w:sz w:val="32"/>
          <w:szCs w:val="28"/>
        </w:rPr>
      </w:pPr>
      <w:r>
        <w:rPr>
          <w:b/>
          <w:bCs/>
          <w:color w:val="auto"/>
          <w:sz w:val="32"/>
          <w:szCs w:val="28"/>
        </w:rPr>
        <w:t xml:space="preserve">РЕШЕНИЕ</w:t>
      </w:r>
      <w:r/>
    </w:p>
    <w:p>
      <w:pPr>
        <w:pStyle w:val="865"/>
        <w:jc w:val="center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65"/>
        <w:jc w:val="center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СОВЕТА МУНИЦИПАЛЬНОГО ОБРАЗОВАНИЯ </w:t>
      </w:r>
      <w:r/>
    </w:p>
    <w:p>
      <w:pPr>
        <w:pStyle w:val="865"/>
        <w:jc w:val="center"/>
        <w:shd w:val="clear" w:color="auto" w:fill="auto"/>
        <w:rPr>
          <w:b/>
          <w:bCs/>
          <w:color w:val="auto"/>
          <w:szCs w:val="28"/>
          <w:highlight w:val="none"/>
        </w:rPr>
      </w:pPr>
      <w:r>
        <w:rPr>
          <w:b/>
          <w:bCs/>
          <w:color w:val="auto"/>
          <w:szCs w:val="28"/>
        </w:rPr>
        <w:t xml:space="preserve">СТАРОМИНСКИЙ МУНИЦИПАЛЬНЫЙ РАЙОН</w:t>
      </w:r>
      <w:r/>
    </w:p>
    <w:p>
      <w:pPr>
        <w:pStyle w:val="865"/>
        <w:jc w:val="center"/>
        <w:shd w:val="clear" w:color="auto" w:fill="auto"/>
        <w:rPr>
          <w:b/>
          <w:color w:val="auto"/>
          <w:szCs w:val="28"/>
          <w:highlight w:val="none"/>
        </w:rPr>
      </w:pPr>
      <w:r>
        <w:rPr>
          <w:b/>
          <w:bCs/>
          <w:color w:val="auto"/>
          <w:szCs w:val="28"/>
          <w:highlight w:val="none"/>
        </w:rPr>
        <w:t xml:space="preserve">КРАСНОДАРСКОГО КРАЯ</w:t>
      </w:r>
      <w:r>
        <w:rPr>
          <w:b/>
          <w:bCs/>
          <w:color w:val="auto"/>
          <w:szCs w:val="28"/>
          <w:highlight w:val="none"/>
        </w:rPr>
      </w:r>
      <w:r/>
    </w:p>
    <w:p>
      <w:pPr>
        <w:pStyle w:val="865"/>
        <w:jc w:val="center"/>
        <w:shd w:val="clear" w:color="auto" w:fill="auto"/>
        <w:rPr>
          <w:b/>
          <w:color w:val="auto"/>
          <w:szCs w:val="28"/>
        </w:rPr>
      </w:pPr>
      <w:r>
        <w:rPr>
          <w:b/>
          <w:bCs/>
          <w:color w:val="auto"/>
          <w:szCs w:val="28"/>
          <w:highlight w:val="none"/>
        </w:rPr>
      </w:r>
      <w:r>
        <w:rPr>
          <w:b/>
          <w:bCs/>
          <w:color w:val="auto"/>
          <w:szCs w:val="28"/>
          <w:highlight w:val="none"/>
        </w:rPr>
      </w:r>
      <w:r/>
    </w:p>
    <w:p>
      <w:pPr>
        <w:pStyle w:val="865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65"/>
        <w:shd w:val="clear" w:color="auto" w:fill="auto"/>
        <w:rPr>
          <w:color w:val="auto"/>
          <w:szCs w:val="28"/>
        </w:rPr>
      </w:pPr>
      <w:r>
        <w:rPr>
          <w:color w:val="auto"/>
          <w:szCs w:val="28"/>
        </w:rPr>
        <w:t xml:space="preserve">от _30.04.2025_                                                                          №___56/8__</w:t>
      </w:r>
      <w:bookmarkStart w:id="0" w:name="_GoBack"/>
      <w:r/>
      <w:bookmarkEnd w:id="0"/>
      <w:r>
        <w:rPr>
          <w:color w:val="auto"/>
          <w:szCs w:val="28"/>
        </w:rPr>
        <w:t xml:space="preserve">__  </w:t>
      </w:r>
      <w:r/>
    </w:p>
    <w:p>
      <w:pPr>
        <w:pStyle w:val="854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ст-ца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Староминская</w:t>
      </w:r>
      <w:r/>
    </w:p>
    <w:p>
      <w:pPr>
        <w:pStyle w:val="865"/>
        <w:shd w:val="clear" w:color="auto" w:fill="auto"/>
        <w:rPr>
          <w:bCs/>
          <w:color w:val="auto"/>
          <w:szCs w:val="28"/>
        </w:rPr>
      </w:pPr>
      <w:r>
        <w:rPr>
          <w:bCs/>
          <w:color w:val="auto"/>
          <w:szCs w:val="28"/>
        </w:rPr>
      </w:r>
      <w:r/>
    </w:p>
    <w:p>
      <w:pPr>
        <w:pStyle w:val="865"/>
        <w:shd w:val="clear" w:color="auto" w:fill="auto"/>
        <w:rPr>
          <w:szCs w:val="28"/>
        </w:rPr>
      </w:pPr>
      <w:r>
        <w:rPr>
          <w:szCs w:val="28"/>
        </w:rPr>
      </w:r>
      <w:r/>
    </w:p>
    <w:p>
      <w:pPr>
        <w:pStyle w:val="861"/>
        <w:tabs>
          <w:tab w:val="left" w:pos="70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-5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О принятии к сведению отчета о деятельности </w:t>
      </w:r>
      <w:r/>
    </w:p>
    <w:p>
      <w:pPr>
        <w:ind w:right="-5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контрольно-счетной палаты муниципального образования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муниципальный район Краснодарского края за 2024 год</w:t>
      </w:r>
      <w:r>
        <w:rPr>
          <w:highlight w:val="white"/>
        </w:rPr>
      </w:r>
      <w:r/>
    </w:p>
    <w:p>
      <w:pPr>
        <w:pStyle w:val="869"/>
        <w:rPr>
          <w:color w:val="FF0000"/>
          <w:szCs w:val="28"/>
          <w:highlight w:val="cyan"/>
        </w:rPr>
      </w:pPr>
      <w:r>
        <w:rPr>
          <w:color w:val="FF0000"/>
          <w:szCs w:val="28"/>
          <w:highlight w:val="cyan"/>
        </w:rPr>
      </w:r>
      <w:r>
        <w:rPr>
          <w:highlight w:val="cyan"/>
        </w:rPr>
      </w:r>
      <w:r/>
    </w:p>
    <w:p>
      <w:pPr>
        <w:pStyle w:val="869"/>
        <w:rPr>
          <w:color w:val="FF0000"/>
          <w:szCs w:val="28"/>
          <w:highlight w:val="cyan"/>
        </w:rPr>
      </w:pPr>
      <w:r>
        <w:rPr>
          <w:color w:val="FF0000"/>
          <w:szCs w:val="28"/>
          <w:highlight w:val="cyan"/>
        </w:rPr>
      </w:r>
      <w:r>
        <w:rPr>
          <w:highlight w:val="cyan"/>
        </w:rPr>
      </w:r>
      <w:r/>
    </w:p>
    <w:p>
      <w:pPr>
        <w:pStyle w:val="869"/>
        <w:rPr>
          <w:szCs w:val="28"/>
          <w:highlight w:val="cyan"/>
        </w:rPr>
      </w:pPr>
      <w:r>
        <w:rPr>
          <w:szCs w:val="28"/>
          <w:highlight w:val="cyan"/>
        </w:rPr>
      </w:r>
      <w:r>
        <w:rPr>
          <w:highlight w:val="cyan"/>
        </w:rPr>
      </w:r>
      <w:r/>
    </w:p>
    <w:p>
      <w:pPr>
        <w:pStyle w:val="869"/>
        <w:ind w:firstLine="284"/>
        <w:rPr>
          <w:color w:val="000000"/>
          <w:szCs w:val="28"/>
          <w:highlight w:val="white"/>
        </w:rPr>
      </w:pPr>
      <w:r>
        <w:rPr>
          <w:szCs w:val="28"/>
          <w:highlight w:val="white"/>
        </w:rPr>
        <w:t xml:space="preserve">  </w:t>
      </w:r>
      <w:r>
        <w:rPr>
          <w:color w:val="000000" w:themeColor="text1"/>
          <w:szCs w:val="28"/>
          <w:highlight w:val="white"/>
        </w:rPr>
        <w:t xml:space="preserve">  </w:t>
      </w:r>
      <w:r>
        <w:rPr>
          <w:color w:val="000000" w:themeColor="text1"/>
          <w:szCs w:val="28"/>
          <w:highlight w:val="white"/>
        </w:rPr>
        <w:t xml:space="preserve"> </w:t>
      </w:r>
      <w:r>
        <w:rPr>
          <w:color w:val="000000" w:themeColor="text1"/>
          <w:szCs w:val="28"/>
          <w:highlight w:val="white"/>
        </w:rPr>
        <w:t xml:space="preserve">В соответствии со статьей 19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color w:val="000000" w:themeColor="text1"/>
          <w:szCs w:val="28"/>
          <w:highlight w:val="white"/>
        </w:rPr>
        <w:t xml:space="preserve">решением Совета муниципального образования </w:t>
      </w:r>
      <w:r>
        <w:rPr>
          <w:color w:val="000000" w:themeColor="text1"/>
          <w:szCs w:val="28"/>
          <w:highlight w:val="white"/>
        </w:rPr>
        <w:t xml:space="preserve">Староминский</w:t>
      </w:r>
      <w:r>
        <w:rPr>
          <w:color w:val="000000" w:themeColor="text1"/>
          <w:szCs w:val="28"/>
          <w:highlight w:val="white"/>
        </w:rPr>
        <w:t xml:space="preserve"> район от 23.11.2011 №19/1 «О контрольно-счетной палате муниципального образования </w:t>
      </w:r>
      <w:r>
        <w:rPr>
          <w:color w:val="000000" w:themeColor="text1"/>
          <w:szCs w:val="28"/>
          <w:highlight w:val="white"/>
        </w:rPr>
        <w:t xml:space="preserve">Староминский</w:t>
      </w:r>
      <w:r>
        <w:rPr>
          <w:color w:val="000000" w:themeColor="text1"/>
          <w:szCs w:val="28"/>
          <w:highlight w:val="white"/>
        </w:rPr>
        <w:t xml:space="preserve"> муниципальный район Краснодарского края», на основании статьи 25 Устава муниципального образования </w:t>
      </w:r>
      <w:r>
        <w:rPr>
          <w:color w:val="000000" w:themeColor="text1"/>
          <w:szCs w:val="28"/>
          <w:highlight w:val="white"/>
        </w:rPr>
        <w:t xml:space="preserve">Староминский</w:t>
      </w:r>
      <w:r>
        <w:rPr>
          <w:color w:val="000000" w:themeColor="text1"/>
          <w:szCs w:val="28"/>
          <w:highlight w:val="white"/>
        </w:rPr>
        <w:t xml:space="preserve"> район, Совет муниципального образования </w:t>
      </w:r>
      <w:r>
        <w:rPr>
          <w:color w:val="000000" w:themeColor="text1"/>
          <w:szCs w:val="28"/>
          <w:highlight w:val="white"/>
        </w:rPr>
        <w:t xml:space="preserve">Староминский</w:t>
      </w:r>
      <w:r>
        <w:rPr>
          <w:color w:val="000000" w:themeColor="text1"/>
          <w:szCs w:val="28"/>
          <w:highlight w:val="white"/>
        </w:rPr>
        <w:t xml:space="preserve"> муниципальный район Краснодарский край, РЕШИЛ:</w:t>
      </w:r>
      <w:r>
        <w:rPr>
          <w:color w:val="000000" w:themeColor="text1"/>
        </w:rPr>
      </w:r>
      <w:r/>
    </w:p>
    <w:p>
      <w:pPr>
        <w:pStyle w:val="869"/>
        <w:numPr>
          <w:ilvl w:val="0"/>
          <w:numId w:val="1"/>
        </w:numPr>
        <w:ind w:left="0" w:firstLine="709"/>
        <w:tabs>
          <w:tab w:val="num" w:pos="0" w:leader="none"/>
          <w:tab w:val="clear" w:pos="825" w:leader="none"/>
          <w:tab w:val="left" w:pos="993" w:leader="none"/>
        </w:tabs>
        <w:rPr>
          <w:color w:val="000000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Принять к сведению отчет о деятельности контрольно-счетной палаты муниципального образования </w:t>
      </w:r>
      <w:r>
        <w:rPr>
          <w:color w:val="000000" w:themeColor="text1"/>
          <w:szCs w:val="28"/>
          <w:highlight w:val="white"/>
        </w:rPr>
        <w:t xml:space="preserve">Староминский</w:t>
      </w:r>
      <w:r>
        <w:rPr>
          <w:color w:val="000000" w:themeColor="text1"/>
          <w:szCs w:val="28"/>
          <w:highlight w:val="white"/>
        </w:rPr>
        <w:t xml:space="preserve"> муниципальный район Краснодарского края за 2024 год согласно приложению к настоящему решению.</w:t>
      </w:r>
      <w:r>
        <w:rPr>
          <w:color w:val="000000" w:themeColor="text1"/>
        </w:rPr>
      </w:r>
      <w:r/>
    </w:p>
    <w:p>
      <w:pPr>
        <w:pStyle w:val="676"/>
        <w:ind w:firstLine="708"/>
        <w:jc w:val="both"/>
        <w:spacing w:line="240" w:lineRule="auto"/>
        <w:tabs>
          <w:tab w:val="left" w:pos="1080" w:leader="none"/>
        </w:tabs>
        <w:rPr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 w:eastAsia="Times New Roman"/>
          <w:sz w:val="28"/>
        </w:rPr>
        <w:t xml:space="preserve">Разместить настоящее решение на официальном сайте в сетевом издании (Администрация муниципального образования Староминский район, </w:t>
      </w:r>
      <w:r>
        <w:rPr>
          <w:rFonts w:ascii="Times New Roman" w:hAnsi="Times New Roman" w:cs="Times New Roman" w:eastAsia="Times New Roman"/>
          <w:sz w:val="28"/>
          <w:lang w:val="en-US"/>
        </w:rPr>
        <w:t xml:space="preserve">starominska.ru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, ЭЛ №ФС77-82659 от 10.02.2022г.). </w:t>
      </w:r>
      <w:r/>
    </w:p>
    <w:p>
      <w:pPr>
        <w:ind w:firstLine="708"/>
        <w:jc w:val="both"/>
        <w:spacing w:line="240" w:lineRule="auto"/>
        <w:tabs>
          <w:tab w:val="left" w:pos="1080" w:leader="none"/>
        </w:tabs>
        <w:rPr>
          <w:szCs w:val="28"/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ind w:firstLine="708"/>
        <w:jc w:val="both"/>
        <w:spacing w:line="240" w:lineRule="auto"/>
        <w:tabs>
          <w:tab w:val="left" w:pos="1080" w:leader="none"/>
        </w:tabs>
        <w:rPr>
          <w:szCs w:val="28"/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ind w:firstLine="708"/>
        <w:jc w:val="both"/>
        <w:spacing w:line="240" w:lineRule="auto"/>
        <w:tabs>
          <w:tab w:val="left" w:pos="1080" w:leader="none"/>
        </w:tabs>
        <w:rPr>
          <w:szCs w:val="28"/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ind w:firstLine="708"/>
        <w:jc w:val="both"/>
        <w:spacing w:line="240" w:lineRule="auto"/>
        <w:tabs>
          <w:tab w:val="left" w:pos="1080" w:leader="none"/>
        </w:tabs>
        <w:rPr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8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3. Настоящее решение вступает в силу со дня его подписания.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676"/>
        <w:jc w:val="both"/>
      </w:pPr>
      <w:r>
        <w:rPr>
          <w:sz w:val="28"/>
        </w:rPr>
      </w:r>
      <w:r>
        <w:rPr>
          <w:sz w:val="28"/>
        </w:rPr>
      </w:r>
      <w:r/>
    </w:p>
    <w:p>
      <w:pPr>
        <w:pStyle w:val="676"/>
        <w:contextualSpacing/>
        <w:ind w:left="0" w:right="0" w:firstLine="0"/>
        <w:jc w:val="left"/>
        <w:spacing w:after="0" w:afterAutospacing="0" w:line="240" w:lineRule="auto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Председатель Совета муниципального</w:t>
      </w:r>
      <w:r>
        <w:rPr>
          <w:rFonts w:ascii="Times New Roman" w:hAnsi="Times New Roman" w:cs="Times New Roman" w:eastAsia="Times New Roman"/>
        </w:rPr>
      </w:r>
      <w:r/>
    </w:p>
    <w:p>
      <w:pPr>
        <w:pStyle w:val="676"/>
        <w:contextualSpacing/>
        <w:ind w:left="0" w:right="0" w:firstLine="0"/>
        <w:jc w:val="left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образования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Староминский </w:t>
      </w:r>
      <w:r/>
    </w:p>
    <w:p>
      <w:pPr>
        <w:contextualSpacing/>
        <w:ind w:left="0" w:right="0" w:firstLine="0"/>
        <w:jc w:val="left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муниципальный район</w:t>
      </w:r>
      <w:r>
        <w:rPr>
          <w:rFonts w:ascii="Times New Roman" w:hAnsi="Times New Roman" w:cs="Times New Roman" w:eastAsia="Times New Roman"/>
          <w:sz w:val="28"/>
        </w:rPr>
        <w:t xml:space="preserve">   </w:t>
      </w:r>
      <w:r/>
    </w:p>
    <w:p>
      <w:pPr>
        <w:contextualSpacing/>
        <w:ind w:left="0" w:right="0" w:firstLine="0"/>
        <w:jc w:val="left"/>
        <w:spacing w:after="0" w:afterAutospacing="0" w:line="240" w:lineRule="auto"/>
        <w:rPr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Краснодарского края     </w:t>
      </w: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А.Н.Игнатенко</w:t>
      </w:r>
      <w:r>
        <w:rPr>
          <w:sz w:val="28"/>
        </w:rPr>
        <w:t xml:space="preserve">               </w:t>
      </w:r>
      <w:r>
        <w:rPr>
          <w:sz w:val="28"/>
        </w:rPr>
      </w:r>
      <w:r/>
    </w:p>
    <w:p>
      <w:pPr>
        <w:pStyle w:val="676"/>
        <w:jc w:val="both"/>
      </w:pPr>
      <w:r>
        <w:rPr>
          <w:sz w:val="28"/>
        </w:rPr>
      </w:r>
      <w:r>
        <w:rPr>
          <w:sz w:val="28"/>
        </w:rPr>
      </w:r>
      <w:r/>
    </w:p>
    <w:p>
      <w:pPr>
        <w:pStyle w:val="676"/>
        <w:jc w:val="both"/>
        <w:spacing w:after="0" w:afterAutospacing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Глава</w:t>
      </w:r>
      <w:r>
        <w:rPr>
          <w:rFonts w:ascii="Times New Roman" w:hAnsi="Times New Roman" w:cs="Times New Roman" w:eastAsia="Times New Roman"/>
          <w:sz w:val="28"/>
        </w:rPr>
        <w:t xml:space="preserve"> муниципального образования</w:t>
      </w:r>
      <w:r>
        <w:rPr>
          <w:rFonts w:ascii="Times New Roman" w:hAnsi="Times New Roman" w:cs="Times New Roman" w:eastAsia="Times New Roman"/>
        </w:rPr>
      </w:r>
      <w:r/>
    </w:p>
    <w:p>
      <w:pPr>
        <w:pStyle w:val="676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Староминский муниципальный район</w:t>
      </w:r>
      <w:r/>
    </w:p>
    <w:p>
      <w:pPr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Краснодарского края                                                                       А.В.Кияшко</w:t>
      </w:r>
      <w:r>
        <w:rPr>
          <w:rFonts w:ascii="Times New Roman" w:hAnsi="Times New Roman" w:cs="Times New Roman" w:eastAsia="Times New Roman"/>
        </w:rPr>
      </w:r>
      <w:r/>
    </w:p>
    <w:p>
      <w:pPr>
        <w:pStyle w:val="861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white"/>
        </w:rPr>
      </w:pPr>
      <w:r>
        <w:rPr>
          <w:rFonts w:ascii="Times New Roman" w:hAnsi="Times New Roman"/>
          <w:color w:val="C00000"/>
          <w:sz w:val="28"/>
          <w:szCs w:val="28"/>
          <w:highlight w:val="white"/>
        </w:rPr>
      </w:r>
      <w:r>
        <w:rPr>
          <w:color w:val="C00000"/>
        </w:rPr>
      </w:r>
      <w:r/>
    </w:p>
    <w:p>
      <w:pPr>
        <w:pStyle w:val="861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white"/>
        </w:rPr>
      </w:pPr>
      <w:r>
        <w:rPr>
          <w:rFonts w:ascii="Times New Roman" w:hAnsi="Times New Roman"/>
          <w:color w:val="C00000"/>
          <w:sz w:val="28"/>
          <w:szCs w:val="28"/>
          <w:highlight w:val="white"/>
        </w:rPr>
      </w:r>
      <w:r>
        <w:rPr>
          <w:color w:val="C00000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p>
      <w:pPr>
        <w:pStyle w:val="861"/>
        <w:jc w:val="both"/>
        <w:tabs>
          <w:tab w:val="left" w:pos="708" w:leader="none"/>
        </w:tabs>
        <w:rPr>
          <w:rFonts w:ascii="Times New Roman" w:hAnsi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/>
          <w:color w:val="C00000"/>
          <w:sz w:val="28"/>
          <w:szCs w:val="28"/>
          <w:highlight w:val="cyan"/>
        </w:rPr>
      </w:r>
      <w:r/>
    </w:p>
    <w:tbl>
      <w:tblPr>
        <w:tblStyle w:val="70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r>
            <w:r>
              <w:rPr>
                <w:color w:val="auto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ПРИЛОЖЕНИЕ</w:t>
            </w:r>
            <w:r>
              <w:rPr>
                <w:color w:val="auto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к решению Совета муниципального</w:t>
            </w:r>
            <w:r>
              <w:rPr>
                <w:color w:val="auto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образования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Староминский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 муниципальный район</w:t>
            </w:r>
            <w:r>
              <w:rPr>
                <w:color w:val="auto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Краснодарского края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от _30.04.2025_№__56/8___</w:t>
            </w:r>
            <w:r>
              <w:rPr>
                <w:color w:val="auto"/>
              </w:rPr>
            </w:r>
            <w:r/>
          </w:p>
        </w:tc>
      </w:tr>
    </w:tbl>
    <w:p>
      <w:pPr>
        <w:jc w:val="center"/>
        <w:spacing w:after="240" w:line="240" w:lineRule="auto"/>
        <w:rPr>
          <w:rFonts w:ascii="Times New Roman" w:hAnsi="Times New Roman"/>
          <w:b/>
          <w:color w:val="C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C00000"/>
          <w:sz w:val="28"/>
          <w:szCs w:val="28"/>
          <w:highlight w:val="white"/>
        </w:rPr>
      </w:r>
      <w:r>
        <w:rPr>
          <w:color w:val="C00000"/>
        </w:rPr>
      </w:r>
      <w:r/>
    </w:p>
    <w:p>
      <w:pPr>
        <w:contextualSpacing/>
        <w:jc w:val="center"/>
        <w:spacing w:after="240" w:line="276" w:lineRule="auto"/>
        <w:rPr>
          <w:rFonts w:ascii="Times New Roman" w:hAnsi="Times New Roman"/>
          <w:b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auto"/>
          <w:sz w:val="28"/>
          <w:szCs w:val="28"/>
          <w:highlight w:val="white"/>
        </w:rPr>
        <w:t xml:space="preserve">Отчет о деятельности </w:t>
      </w:r>
      <w:r/>
    </w:p>
    <w:p>
      <w:pPr>
        <w:contextualSpacing/>
        <w:jc w:val="center"/>
        <w:spacing w:after="240" w:line="276" w:lineRule="auto"/>
        <w:rPr>
          <w:rFonts w:ascii="Times New Roman" w:hAnsi="Times New Roman"/>
          <w:b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auto"/>
          <w:sz w:val="28"/>
          <w:szCs w:val="28"/>
          <w:highlight w:val="white"/>
        </w:rPr>
        <w:t xml:space="preserve">контрольно-счетной палаты муниципального образования </w:t>
      </w:r>
      <w:r>
        <w:rPr>
          <w:rFonts w:ascii="Times New Roman" w:hAnsi="Times New Roman"/>
          <w:b/>
          <w:color w:val="auto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b/>
          <w:color w:val="auto"/>
          <w:sz w:val="28"/>
          <w:szCs w:val="28"/>
          <w:highlight w:val="white"/>
        </w:rPr>
        <w:t xml:space="preserve"> муниципальный район </w:t>
      </w:r>
      <w:r/>
    </w:p>
    <w:p>
      <w:pPr>
        <w:contextualSpacing/>
        <w:jc w:val="center"/>
        <w:spacing w:after="240" w:line="276" w:lineRule="auto"/>
        <w:rPr>
          <w:color w:val="auto"/>
          <w:szCs w:val="28"/>
          <w:highlight w:val="none"/>
        </w:rPr>
      </w:pPr>
      <w:r>
        <w:rPr>
          <w:rFonts w:ascii="Times New Roman" w:hAnsi="Times New Roman"/>
          <w:b/>
          <w:color w:val="auto"/>
          <w:sz w:val="28"/>
          <w:szCs w:val="28"/>
          <w:highlight w:val="white"/>
        </w:rPr>
        <w:t xml:space="preserve">Краснодарского края за 2024 год</w:t>
      </w:r>
      <w:r>
        <w:rPr>
          <w:color w:val="auto"/>
        </w:rPr>
      </w:r>
      <w:r/>
    </w:p>
    <w:p>
      <w:pPr>
        <w:contextualSpacing/>
        <w:jc w:val="center"/>
        <w:spacing w:after="240" w:line="276" w:lineRule="auto"/>
        <w:rPr>
          <w:rFonts w:ascii="Times New Roman" w:hAnsi="Times New Roman"/>
          <w:b/>
          <w:color w:val="auto"/>
          <w:sz w:val="28"/>
          <w:szCs w:val="28"/>
          <w:highlight w:val="white"/>
        </w:rPr>
      </w:pPr>
      <w:r>
        <w:rPr>
          <w:color w:val="auto"/>
          <w:highlight w:val="none"/>
        </w:rPr>
      </w:r>
      <w:r>
        <w:rPr>
          <w:color w:val="auto"/>
          <w:highlight w:val="none"/>
        </w:rPr>
      </w:r>
      <w:r/>
    </w:p>
    <w:p>
      <w:pPr>
        <w:contextualSpacing/>
        <w:ind w:firstLine="708"/>
        <w:jc w:val="both"/>
        <w:spacing w:after="0" w:afterAutospacing="0" w:line="276" w:lineRule="auto"/>
        <w:rPr>
          <w:bCs/>
          <w:color w:val="000000"/>
          <w:szCs w:val="28"/>
          <w:highlight w:val="none"/>
        </w:rPr>
      </w:pP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ru-RU"/>
        </w:rPr>
        <w:t xml:space="preserve">Настоящий годовой отчет о деятельности контрольно-счетной палаты муниципального образования 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ru-RU"/>
        </w:rPr>
        <w:t xml:space="preserve"> муниципальный район Краснодарского края за 2024 год  подготовлен в соответствии с требованиями статьи 19 Федерального закона от 7 февраля 2011 год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ru-RU"/>
        </w:rPr>
        <w:t xml:space="preserve">а  №6-ФЗ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№6-ФЗ)</w:t>
      </w:r>
      <w:r>
        <w:rPr>
          <w:rFonts w:ascii="Times New Roman" w:hAnsi="Times New Roman" w:cs="Times New Roman" w:eastAsia="Times New Roman"/>
          <w:bCs/>
          <w:color w:val="C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и статьи 20 Положения о контрольно-счетной палате муниципального образования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муниципальный район Краснодарского края, утвержденного решением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Совета муниципального  образования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район от 23.11.2011 №19/1 «О контрольно-счетной палате муниципального образования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муниципальный район Краснодарского края» (далее – Положение о контрольно-счетной палате) и  включает в себя общие сведения о результатах проведенных контрольных и экспертно-аналитических мероприятий, вытекающих из них выводах, рекомендациях и предложениях.</w:t>
      </w:r>
      <w:r>
        <w:rPr>
          <w:color w:val="000000" w:themeColor="text1"/>
        </w:rPr>
      </w:r>
      <w:r/>
    </w:p>
    <w:p>
      <w:pPr>
        <w:contextualSpacing/>
        <w:ind w:firstLine="708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contextualSpacing/>
        <w:ind w:firstLine="709"/>
        <w:jc w:val="center"/>
        <w:spacing w:after="0" w:afterAutospacing="0" w:line="276" w:lineRule="auto"/>
        <w:rPr>
          <w:rFonts w:ascii="Times New Roman" w:hAnsi="Times New Roman" w:cs="Times New Roman" w:eastAsia="Times New Roman"/>
          <w:b/>
          <w:bCs/>
          <w:color w:val="auto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/>
          <w:bCs/>
          <w:color w:val="auto"/>
          <w:sz w:val="28"/>
          <w:szCs w:val="28"/>
          <w:highlight w:val="white"/>
          <w:lang w:eastAsia="ru-RU"/>
        </w:rPr>
        <w:t xml:space="preserve">1. Деятельность контрольно-счетной палаты (общая часть)</w:t>
      </w:r>
      <w:r>
        <w:rPr>
          <w:color w:val="auto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C00000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Контрольно-счетная палата муниципального образования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муниципальный район Краснодарского края (далее - Контрольно-счетная палата) была создана Советом муниципального образования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район 1 февраля 2012 года к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ак са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мостоятельный орган местного самоуправления, являющийся органом внешнего муниципального финансового контроля, наделенный статусом юридического лица, является участником бюджетного процесса, обладающая бюджетными полномочиями, функционирует тринадцать лет.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Деятельность Контрольно-счетной палаты в отчетном году осуществлялась в единой системе предотвращения бюджетно-финансовых нарушений, контроля за исполнением доходной и расходной частей бюджета района, внедрения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принципов аудита эффективности использования финансовых ресурсов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и муниципальной собственности.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bCs/>
          <w:color w:val="000000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C00000"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Контрольно-счетная палата, как и в предыдущие годы в отчетном периоде приняла на исполнение также полномочия контрольно-счетных органов по осуществлению муниципального финансового контроля всех пяти  сельских поселений района.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ab/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C00000"/>
          <w:highlight w:val="white"/>
        </w:rPr>
        <w:tab/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В 2024 году вся деятельность Контрольно-счетной палаты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осуществлялась в строгом соответствии с Уставом муниципального образования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район и решением Совета муниципального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образования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район «О контрольно-счетной палате муниципального образования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район», в соответствии с  планом работы Контрольно-счетной палаты на 2024 год, утвержденного председателем Контрольно-счетной палаты. При формировании годового плана работы учтены поручения Совета муниципального образования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район, поручения Советов всех пяти поселений, входящих в состав муниципального образования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район, а также предложения главы муниципального образования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район и глав поселений.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Деятельность Контрольно-счетной палаты планировалась по четырем направлениям: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-мероприятия по контролю формирования и исполнения бюджета муниципального образования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район и сельских поселений, входящих в состав муниципального образования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район;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-контрольные и экспертно-аналитические мероприятия;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-информационные мероприятия;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-организационно-технические мероприятия.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Планирование деятельности Контрольно-счетной палаты за 2024 год осуществлялось исходя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из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: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-необходимости соблюдения процедур и сроков проведения мероприятий по формированию и исполнению местного  бюджета, установленных бюджетным законодательством;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-полномочий, предусмотренных Бюджетным кодексом Российской Федерации, Федеральным законом №6-ФЗ и Положением о контрольно-счетной палате;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-наличия трудовых ресурсов, а именно численности Контрольно-счетной палаты.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В 2024 году фактическая численность Контрольно-счетной палаты составила 3 штатные единицы.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bCs/>
          <w:color w:val="C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Основные задачи Контрольно-счетной палаты в отчетном периоде заключались в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контроле за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 исполнением местного бюджета и бюджетов сельских поселен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ий, а также за соблюдением установленного порядка подготовки и рассмотрения проектов местных бюджетов района и поселений,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отчета об исполнении местных бюджетов, в повышении эффективности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использования средств местных бюджетов и муниципальной собственности.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Целью контрольной и экспертно-аналитической деятельности являлась разработка предложений и рекоменд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аций, направленных не только на устранение выявленных нарушений и недостатков, а также на их предотвращение и предупреждение, на выявление системных причин,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негативно влияющих на качество упра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вленческих решений принимаемых органами местного самоуправления.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Основные итоги работы Контрол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ьно-счетной палаты в 2024 году.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целом в отчетном году сотрудниками Контрольно-счетной палаты проведено 72 мероприятия, из них 18 контрольных мероприятий  и 54 экспертно-аналитических мероприятий.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Контрольными мероприятиями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охвачены 23 объекта проверки, из них    16 органов местного самоуправления, 7 муниципальных учреждения.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Объем проверенных средств составил 1 967 618,6 тыс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убле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й, в том числе 1 953 992,2 тыс. рублей при внешней проверке отчета об исполнении бюджета и бюджетной (бухгалтерской) отчетности и прочие контрольные мероприятия на сумму  13 626,4 тыс.рублей.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Стоимость проверенного имущества составила 51 352,1 тыс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ублей.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Результаты проведенных в отчетном периоде контрольных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экспертно-аналитических мероприятий свидетельствуют о том, что бюджетные средства, выделяемые на финансирование органов местного самоуправления и учреждений, в основном, использовались в соответствии с требованиями действующего бюджетного законодательства.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C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Вместе с тем, имеются финансовые нарушения и недостатки.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color w:val="000000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отчетном периоде Контрольно-счетной палатой выявлено финансовых нарушений и недостатков на сумму 12 277,9 тыс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блей.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Структура выявленных нарушений представлена следующим образом:</w:t>
      </w:r>
      <w:r>
        <w:rPr>
          <w:color w:val="000000" w:themeColor="text1"/>
        </w:rPr>
      </w:r>
      <w:r/>
    </w:p>
    <w:p>
      <w:pPr>
        <w:pStyle w:val="874"/>
        <w:numPr>
          <w:ilvl w:val="0"/>
          <w:numId w:val="3"/>
        </w:numPr>
        <w:contextualSpacing/>
        <w:ind w:left="0" w:right="0"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нецелевое использование бюджетных средств в сумме             687,2 тыс.рублей;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–принятие бюджетных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обязательств в размерах, превышающих утвержденные бюджетные ассигнования и (или) лимиты бюджетных обязательств в сумме 9 928,0 тыс.рублей, что является нарушением п.5 статьи 161, абзаца 3 статьи 162, п.3 статьи 219 Бюджетного кодекса Российской Федерации;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-нарушение п.3 статьи 136 Бюджетного кодекса Российской Федерации в сумме 1445,3 тыс.рублей;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-неправомерные расходы в сумме 217,4 тыс. рублей. В ходе  проведения проверки «Проверка порядка предоставления и использования иных межбюджетных трансфертов, предоставляемых из бюджета муниципального образования Старомински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й район Рассветовскому сельскому поселению Староминского района за 2023 год» выявлено, что руководитель муниципального казенного учреждения культуры «СДК п.Рассвет» заключил контракт на подрядные работы по п.5 ч.1 ст.93 Федерального закона от 5 апреля 2013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года №44-ФЗ «О контрактной системе в сфере закупок товаров, работ, услуг для обеспечения государственных и муниципальных нужд» с единственным подрядчиком, не являющимся плательщиком налога на добавленную стоимость (далее – НДС), при этом в цену контракта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включены 20% НДС. По результатам проверки муниципальным казенным учреждением культуры «СДК п.Рассвет» подано  в Арбитражный суд Краснодарского края исковое заявление к                        подрядчику о взыскании расходов в сумме 217,4 тыс. рублей.  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cyan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Кроме этого неэффективное использование бюджетных средств на сумму 7 332,2  тыс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ублей, сложилось в результате использования бюджетных средств в нарушение</w:t>
      </w:r>
      <w:r>
        <w:rPr>
          <w:rFonts w:ascii="Times New Roman" w:hAnsi="Times New Roman" w:cs="Times New Roman" w:eastAsia="Times New Roman"/>
          <w:color w:val="C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ст.34 Бюджетного кодекса РФ на оплату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штрафов, пени в сумме 45,4 тыс.рублей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просроченная дебиторская задолженность в сумме 7 286,8 тыс.рублей.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cyan"/>
        </w:rPr>
        <w:t xml:space="preserve"> 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Далее, нарушения порядка ведения бюджетного (бухгалтерского) учета, со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ставления и предоставления отчетности на сумму                                24 678,2 тыс.рублей.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Структура выявленных нарушений представлена следующим образом: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pStyle w:val="874"/>
        <w:numPr>
          <w:ilvl w:val="0"/>
          <w:numId w:val="2"/>
        </w:numPr>
        <w:contextualSpacing/>
        <w:ind w:left="0" w:right="0"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нарушение требований, предъявляемых к оформлению и ведению регистров бухгалтерского учета;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pStyle w:val="874"/>
        <w:numPr>
          <w:ilvl w:val="0"/>
          <w:numId w:val="2"/>
        </w:numPr>
        <w:contextualSpacing/>
        <w:ind w:left="0" w:right="0"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нарушение руководителями экономических субъектов требований организации и ведения бухгалтерского учета;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pStyle w:val="874"/>
        <w:numPr>
          <w:ilvl w:val="0"/>
          <w:numId w:val="2"/>
        </w:numPr>
        <w:contextualSpacing/>
        <w:ind w:left="0" w:right="0"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нарушение требований, предъявляемых к проведению и документальному оформлению результатов инвентаризации активов и обязательств;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pStyle w:val="874"/>
        <w:numPr>
          <w:ilvl w:val="0"/>
          <w:numId w:val="2"/>
        </w:numPr>
        <w:contextualSpacing/>
        <w:ind w:left="0" w:right="0"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непроведение инвентаризации активов и обязательств при составлении отчетности;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pStyle w:val="874"/>
        <w:numPr>
          <w:ilvl w:val="0"/>
          <w:numId w:val="2"/>
        </w:numPr>
        <w:contextualSpacing/>
        <w:ind w:left="0" w:right="0"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нарушение общих требований к бюджетной бухгалтерской (финансовой) отчетности экономического субъекта;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pStyle w:val="874"/>
        <w:numPr>
          <w:ilvl w:val="0"/>
          <w:numId w:val="2"/>
        </w:numPr>
        <w:contextualSpacing/>
        <w:ind w:left="0" w:right="0"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недостоверное отражение (не отражение) в учете и отчетности дебиторской и кредиторской отчетности;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pStyle w:val="874"/>
        <w:numPr>
          <w:ilvl w:val="0"/>
          <w:numId w:val="2"/>
        </w:numPr>
        <w:contextualSpacing/>
        <w:ind w:left="0" w:right="0"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-нарушения порядка ведения учета муниципального имущества и отражения его на соответствующих счетах;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pStyle w:val="874"/>
        <w:numPr>
          <w:ilvl w:val="0"/>
          <w:numId w:val="2"/>
        </w:numPr>
        <w:contextualSpacing/>
        <w:ind w:left="0" w:right="0"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отсутствие аудиторских заключений.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contextualSpacing/>
        <w:ind w:left="0" w:right="0"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cyan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highlight w:val="cyan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 результатам проверки устранены нарушения порядка ведения бюджетного (бухгалтерского) учета, составления и предоставления отчетности на сумму 23 552,7 тыс.рублей, составл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ены три протокола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об административных правонарушениях по ч.2 ст.15.15.6 КоАП РФ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ч.3 ст.15.15.6 КоАП РФ, по результатам суда признаны виновными в совершении административного правонарушения должностное лицо муниципального образования Староминский район и должностное лицо Староминского сельского поселения Староминского района.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C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Установлены факты нарушения действующего законодательства (Бюджетного кодекса РФ, Гражданского кодекса РФ и так далее) в стоимостном выражении на общую сумму 7 167,3 тыс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ублей. </w:t>
      </w:r>
      <w:r/>
    </w:p>
    <w:p>
      <w:pPr>
        <w:contextualSpacing/>
        <w:ind w:firstLine="709"/>
        <w:jc w:val="both"/>
        <w:spacing w:after="0" w:afterAutospacing="0" w:line="276" w:lineRule="auto"/>
        <w:rPr>
          <w:color w:val="000000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Стоимость имущества, используемого с нарушением установленного порядка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управления и распоряжения имуществом составила 26 327,5 тыс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ублей,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основном это нарушение порядка учета и ведения реестра муниципального имущества и несоблюдение требований (порядка) государственной регистрации прав на недвижимое имущество и сделок с ним.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Кроме этого, в отчетном периоде в соответствии со статьей 98 Федерального закона от 5 апреля 2013г. №44-ФЗ «О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муниципальных нужд» (далее – Закон №44-ФЗ) Контрольно-счетной палатой в рамках одного контрольного мероприятия проведен аудит в сфере муниципальных закупок, по результатам которых выявлено нарушений законодательства о закупках на сумму 6 516,2 тыс.рублей.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Структура выявляемых нарушений на протяжении нескольких лет меняется в зависимости от тематики проведенных контрольных мероприятий.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color w:val="000000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Результаты всех контрольных мероприятий доведены до сведения руководителей объектов проверки в виде представлений и информационных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писем с указанием предложений и рекомендаций, направленных на устранение выявленных замечаний и нарушений.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Наряду с контрольными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мероприятиями, Контрольно-счетная палата проводила и экспертно-аналитические мероприятия. Проведенными экспертно-аналитическими мероприятиями Контрольно-счетной  палатой в отчетном периоде охвачены представленные администрацией муниципального образования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район и администрациями сельских поселений проекты решений о местном бюджете и утверждении отчетов об исполнении местных бюджетов.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 результатам данных мероприятий подготовлены заключения, которые направлены в Советы и главам муниципальных образований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Староминского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района. Предложения и рекомендации, отраженные в заключениях контрольно-счетной палаты, практически в полном объеме приняты органами местного самоуправления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Староминского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района.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Контрольно-счетной палатой проведено 54 экспертно-аналитических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мероприятий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из которых: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-6 по проектам решений о бюджете;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-17 о ходе исполнения бюджета;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-6 по проектам решений об исполнении бюджета;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C00000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-25 по финансово-экономической экспертизе проектов муниципальных правовых актов.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Объем средств, охваченных экспертно-аналитическими мероприятиями, составил 8 187 307,7  тыс. рублей, в том числе в отношении сельских поселений 992 329,0 тыс. рублей.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 итогам проведенных экспертно-аналитических мероприятий выявлено нарушение действующего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законодательства,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имеющее стоимостное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выражение, в сумме 21 931,5 тыс. рублей, в том числе: нарушение статьи 37 Бюджетного кодекса РФ на сумму 500,0 тысяч рублей,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нарушение п.3 ст.184.1 Бюджетного кодекса РФ решением о бюджете не утвержден общий объем бюджетных ассигнований, направляемых на исполнение публичных нормативных обязательств в сумме 600,0 тысяч рублей и другие нарушения. 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В плане работы Контрольно-счетной палаты на 2024 год запланировано экспертно-аналитическое мероприятие «Оценка законности предоставления муниципальных гарантий и поручительств или обеспечения исполн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ения обязательств другими способами по сделкам, совершаемыми юридическими лицами и индивидуальными предпринимателями за счет средств местного бюджета и имущества, находящегося в муниципальной собственности муниципального образования Староминский район». 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нное мероприятие не проведено, так как программой муниципальных гарантий муниципального образования Староминский район на 2024 год и на плановый период 2025 и 2026 годов, утвержденной решением Совета муниципального образования Староминский район от 13.12.2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023 года №37/2 «О бюджете муниципального образования Староминский район на 2024 год и на плановый период 2025 и 2026 годов», предоставление муниципальных гарантий не предусмотрено. Муниципальные гарантии муниципального образования Староминский район в 2024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году не предоставлялись. Поручительства или обеспечения исполнения обязательств другими способами по сделкам, совершаемыми юридическими лицами и индивидуальными предпринимателями за счет средств местного бюджета и имущества в 2024 году не предоставлялись.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Благодаря мерам, принимаемым администрациями муниципальных образований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Староминского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района и проверяемыми учреждениями, за отчетный период устранено нарушений на сумму 68 992,7 тыс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ублей, в том числе: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-устранено финансовых нарушений на сумму 490,2 тыс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ублей, средства возвращены в доход бюджета;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-устранено неэффективного использования бюджетных средств в сумме 1 387,8 тыс.рублей;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-устранены нарушения порядка ведения бюджетного (бухгалтерского) учета, составления и предоставления отчетности 23 552,7 тыс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ублей;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-приняты меры по устранению нарушений установленного порядка управления и распоряжения имуществом на сумму 24 575,5 тыс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ублей;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-приняты меры по устранению нарушений действующего законодательства на сумму 18 986,5 тысяч рублей.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Всего за 2024 год направлено 20 представлений об устранении выявленных нарушений и недостатков. 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Кроме этого по материалам проверки привлечено к дисциплинарной ответственности 9 должностных лиц.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Направлено материалов в Прокуратуру Староминского района в количестве 3 единиц и в правоохранительные органы  в количестве 1 единицы.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 материалам контрольных мероприятий Контрольно-с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четной палаты возбуждено 10 административных дел, в том числе:</w:t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 ст.15.14 КоАП РФ «Нецелевое использование бюджетных средств» признаны виновными 3 должностных лица общеобразовательных учреждений муниципального образования и глава Рассветовского сельского поселения Староминского района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,</w:t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по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ст.19.7 КоАП РФ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«Непредставление сведений (информации)» признана виновной глава Канеловского сельского поселения;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по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ч.2 ст.15.15.6 КоАП РФ «Нарушение требований к бюджетному (бухгал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терскому) учету, в том числе к составлению, представлению бюджетной, бухгалтерской (финансовой) отчетности» признаны виновными  должностные лица муниципального образования Староминский район и  Староминского сельского поселения Староминского района;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по ч.3 ст.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ст.15.15.6 КоАП РФ «Нарушение требований к бюджетному (бухгал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терскому) учету, в том числе к составлению, представлению бюджетной, бухгалтерской (финансовой) отчетности» признано виновным одно должностное лицо муниципального образования Староминский район;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u w:val="none"/>
        </w:rPr>
        <w:t xml:space="preserve">по ч.20 ст.19.5 КоАП РФ «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Невыполнение в установленный </w:t>
      </w:r>
      <w:hyperlink r:id="rId13" w:tooltip="https://internet.garant.ru/#/document/12112604/entry/27023" w:history="1">
        <w:r>
          <w:rPr>
            <w:rStyle w:val="835"/>
            <w:rFonts w:ascii="Times New Roman" w:hAnsi="Times New Roman" w:cs="Times New Roman" w:eastAsia="Times New Roman"/>
            <w:color w:val="000000" w:themeColor="text1"/>
            <w:sz w:val="28"/>
            <w:highlight w:val="white"/>
            <w:u w:val="none"/>
          </w:rPr>
          <w:t xml:space="preserve">срок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u w:val="none"/>
        </w:rPr>
        <w:t xml:space="preserve"> законного предписания (представления) органа государственного (муниципального) финансового контроля 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u w:val="none"/>
        </w:rPr>
        <w:t xml:space="preserve">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u w:val="none"/>
        </w:rPr>
        <w:t xml:space="preserve"> признан виновным глава Рассветовского сельского поселения Староминского района;</w:t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u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none"/>
        </w:rPr>
        <w:t xml:space="preserve">по статье 15.15.10 КоАП РФ «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Нарушение порядка принятия бюджетных обязательств»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 привлечено к ответственности одно должностное лицо Рассветовского сельского поселения Староминского района.</w:t>
      </w:r>
      <w:r>
        <w:rPr>
          <w:rFonts w:ascii="Times New Roman" w:hAnsi="Times New Roman" w:cs="Times New Roman" w:eastAsia="Times New Roman"/>
        </w:rPr>
      </w:r>
      <w:r/>
    </w:p>
    <w:p>
      <w:pPr>
        <w:contextualSpacing/>
        <w:ind w:left="0" w:right="0" w:firstLine="709"/>
        <w:jc w:val="both"/>
        <w:spacing w:before="225" w:after="0" w:afterAutospacing="0" w:line="276" w:lineRule="auto"/>
        <w:shd w:val="clear" w:color="ffffff" w:fill="ffffff"/>
        <w:rPr>
          <w:rFonts w:ascii="Arial" w:hAnsi="Arial" w:cs="Arial" w:eastAsia="Arial"/>
          <w:color w:val="000000"/>
          <w:sz w:val="23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Виновным должностным лицам назначены штрафы, всего поступило в бюджет муниципального образования Староминский район 130 000 рублей, в бюджет Канеловского сельского поселения Староминского района                 15 000 рублей.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color w:val="000000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Отчеты по результатам проведенных контрольных мероприятий направлялись главе муниципального образования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район, председателю Совета муниципального образования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район и главам сельских поселений, председателям Советов сельских поселений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Староминского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района.</w:t>
      </w:r>
      <w:r>
        <w:rPr>
          <w:color w:val="000000" w:themeColor="text1"/>
        </w:rPr>
      </w:r>
      <w:r/>
    </w:p>
    <w:p>
      <w:pPr>
        <w:contextualSpacing/>
        <w:ind w:firstLine="709"/>
        <w:jc w:val="both"/>
        <w:spacing w:after="0" w:afterAutospacing="0" w:line="276" w:lineRule="auto"/>
        <w:rPr>
          <w:rFonts w:ascii="Times New Roman" w:hAnsi="Times New Roman" w:cs="Times New Roman" w:eastAsia="Times New Roman"/>
          <w:color w:val="000000"/>
          <w:szCs w:val="28"/>
          <w:highlight w:val="white"/>
        </w:rPr>
        <w:suppressLineNumbers w:val="0"/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pStyle w:val="874"/>
        <w:numPr>
          <w:ilvl w:val="0"/>
          <w:numId w:val="1"/>
        </w:numPr>
        <w:contextualSpacing/>
        <w:ind w:left="1009" w:hanging="709"/>
        <w:jc w:val="center"/>
        <w:spacing w:after="0" w:line="276" w:lineRule="auto"/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white"/>
        </w:rPr>
        <w:t xml:space="preserve">Информационная деятельность</w:t>
      </w:r>
      <w:r>
        <w:rPr>
          <w:color w:val="auto"/>
        </w:rPr>
      </w:r>
      <w:r/>
    </w:p>
    <w:p>
      <w:pPr>
        <w:contextualSpacing/>
        <w:ind w:left="1009" w:hanging="709"/>
        <w:jc w:val="both"/>
        <w:spacing w:after="0" w:line="276" w:lineRule="auto"/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white"/>
        </w:rPr>
      </w:r>
      <w:r>
        <w:rPr>
          <w:color w:val="auto"/>
        </w:rPr>
      </w:r>
      <w:r/>
    </w:p>
    <w:p>
      <w:pPr>
        <w:contextualSpacing/>
        <w:ind w:left="0" w:right="0" w:firstLine="708"/>
        <w:jc w:val="both"/>
        <w:spacing w:after="0" w:line="276" w:lineRule="auto"/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Информационная деятельность Контрольно-счетной палаты состоит в информировании органов местного самоуправления и населения муниципального образования о результатах проведенных контрольных и экспертно-аналитических мероприятий.</w:t>
      </w:r>
      <w:r>
        <w:rPr>
          <w:color w:val="auto"/>
        </w:rPr>
      </w:r>
      <w:r/>
    </w:p>
    <w:p>
      <w:pPr>
        <w:contextualSpacing/>
        <w:ind w:left="0" w:right="0" w:firstLine="300"/>
        <w:jc w:val="both"/>
        <w:spacing w:after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none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В соответствии с Положением о Контрольно-счетной палате в Совет муниципального образования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 район, Советы сельских поселений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 район, а также в администрации района и поселений для ознакомления и принятия мер направлялись отчеты по итогам проведенных Контрольно-счетной палатой мероприятий и информация по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экспертно-аналитическим мероприятиям всего в количестве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121 единицы.</w:t>
      </w:r>
      <w:r>
        <w:rPr>
          <w:color w:val="000000" w:themeColor="text1"/>
        </w:rPr>
      </w:r>
      <w:r/>
    </w:p>
    <w:p>
      <w:pPr>
        <w:contextualSpacing/>
        <w:ind w:left="0" w:right="0" w:firstLine="300"/>
        <w:jc w:val="both"/>
        <w:spacing w:after="0" w:line="276" w:lineRule="auto"/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none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Информация о деятельности Контрольно-счетной палаты и проведенных контрольных и экспертно-аналитических мероприятиях, о выявленных при их проведении нарушениях размещена на официальном сайте Контрольно-счетной палаты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  <w:lang w:val="en-US"/>
        </w:rPr>
        <w:t xml:space="preserve">kspminsk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  <w:lang w:val="en-US"/>
        </w:rPr>
        <w:t xml:space="preserve">ru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. </w:t>
      </w:r>
      <w:r>
        <w:rPr>
          <w:color w:val="auto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C00000"/>
          <w:sz w:val="28"/>
          <w:szCs w:val="28"/>
          <w:highlight w:val="cyan"/>
        </w:rPr>
      </w:pPr>
      <w:r>
        <w:rPr>
          <w:rFonts w:ascii="Times New Roman" w:hAnsi="Times New Roman" w:cs="Times New Roman" w:eastAsia="Times New Roman"/>
          <w:color w:val="C00000"/>
          <w:sz w:val="28"/>
          <w:szCs w:val="28"/>
          <w:highlight w:val="cyan"/>
        </w:rPr>
      </w:r>
      <w:r>
        <w:rPr>
          <w:rFonts w:ascii="Times New Roman" w:hAnsi="Times New Roman" w:cs="Times New Roman" w:eastAsia="Times New Roman"/>
          <w:color w:val="C00000"/>
          <w:sz w:val="28"/>
          <w:szCs w:val="28"/>
          <w:highlight w:val="cyan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none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none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none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white"/>
        </w:rPr>
        <w:t xml:space="preserve">3. Организационная деятельность</w:t>
      </w:r>
      <w:r>
        <w:rPr>
          <w:color w:val="auto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</w:r>
      <w:r>
        <w:rPr>
          <w:color w:val="auto"/>
        </w:rPr>
      </w:r>
      <w:r/>
    </w:p>
    <w:p>
      <w:pPr>
        <w:contextualSpacing/>
        <w:ind w:firstLine="708"/>
        <w:jc w:val="both"/>
        <w:spacing w:after="0" w:line="276" w:lineRule="auto"/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Особое значение при организации работы в отчетном периоде придавалось развитию взаимоотношений с Контрольно-счетной палатой Краснодарского края и контрольно-счетными органами муниципальных образований Кр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снодарского края. С ноября 2013 года Контрольно-счетная палата находится в составе Совета контрольно-счетных органов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Краснодарского края, который оказывает консультативную, методиче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скую помощь в проведении контрольных и экспертно-аналитических мероприятий.</w:t>
      </w:r>
      <w:r>
        <w:rPr>
          <w:color w:val="auto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По результатам подведения итогов работы контрольно-счетных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органов муниципальных образований Краснодарского края за 2024 год контрольно-счетная палата муниципального образования Староминский муниципальный район Краснодарского края занимает 9-ю позицию среди всех 44-х контрольно-счетных органов Краснодарского края.</w:t>
      </w:r>
      <w:r>
        <w:rPr>
          <w:color w:val="000000" w:themeColor="text1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C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C00000"/>
          <w:sz w:val="28"/>
          <w:szCs w:val="28"/>
          <w:highlight w:val="none"/>
        </w:rPr>
      </w:r>
      <w:r/>
    </w:p>
    <w:p>
      <w:pPr>
        <w:contextualSpacing/>
        <w:ind w:firstLine="708"/>
        <w:jc w:val="center"/>
        <w:spacing w:after="0" w:line="276" w:lineRule="auto"/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highlight w:val="white"/>
        </w:rPr>
        <w:t xml:space="preserve">4. Основные направления деятельности Контрольно-счетной палаты в 2025 году</w:t>
      </w:r>
      <w:r>
        <w:rPr>
          <w:color w:val="000000" w:themeColor="text1"/>
        </w:rPr>
      </w:r>
      <w:r/>
    </w:p>
    <w:p>
      <w:pPr>
        <w:contextualSpacing/>
        <w:ind w:firstLine="708"/>
        <w:jc w:val="center"/>
        <w:spacing w:after="0" w:line="276" w:lineRule="auto"/>
        <w:rPr>
          <w:rFonts w:ascii="Times New Roman" w:hAnsi="Times New Roman" w:cs="Times New Roman" w:eastAsia="Times New Roman"/>
          <w:b/>
          <w:color w:val="C00000"/>
          <w:sz w:val="28"/>
          <w:szCs w:val="28"/>
          <w:highlight w:val="cyan"/>
        </w:rPr>
      </w:pPr>
      <w:r>
        <w:rPr>
          <w:rFonts w:ascii="Times New Roman" w:hAnsi="Times New Roman" w:cs="Times New Roman" w:eastAsia="Times New Roman"/>
          <w:b/>
          <w:color w:val="C00000"/>
          <w:sz w:val="28"/>
          <w:szCs w:val="28"/>
          <w:highlight w:val="cyan"/>
        </w:rPr>
      </w:r>
      <w:r>
        <w:rPr>
          <w:color w:val="C00000"/>
        </w:rPr>
      </w:r>
      <w:r/>
    </w:p>
    <w:p>
      <w:pPr>
        <w:contextualSpacing/>
        <w:ind w:firstLine="708"/>
        <w:jc w:val="both"/>
        <w:spacing w:after="0" w:line="276" w:lineRule="auto"/>
        <w:rPr>
          <w:rFonts w:ascii="Times New Roman" w:hAnsi="Times New Roman" w:cs="Times New Roman" w:eastAsia="Times New Roman"/>
          <w:color w:val="000000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Основные направления деятельности Контрольно-счетной палаты на 2025 год отражены в плане работы, которым предусмотрено осуществление комплекса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контрольных и экспертно-аналитических мероприятий, обеспечивающего реализацию задач и функций, возложенных на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Контрольно-счетную палату. В 2025 году предусмотрено проведение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17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контрольных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39 экспертно-аналитических мероприятий,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 также 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яд мероприятий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информационной, правовой, организационной деятельности. Постоянным плановым мероприятием является экспертиза проектов нормативных правовых актов, регулирующих бюджетные правоотношения.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Деятельность палаты будет ориентирована на повышение информационной открытости и прозрачности путем освещения всех направлений деятельности Контрольно-счетной палаты в сети Интернет.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/>
    </w:p>
    <w:p>
      <w:pPr>
        <w:contextualSpacing/>
        <w:ind w:firstLine="708"/>
        <w:jc w:val="both"/>
        <w:spacing w:after="0" w:line="276" w:lineRule="auto"/>
        <w:rPr>
          <w:rFonts w:ascii="Times New Roman" w:hAnsi="Times New Roman" w:cs="Times New Roman" w:eastAsia="Times New Roman"/>
          <w:color w:val="C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C00000"/>
          <w:sz w:val="28"/>
          <w:szCs w:val="28"/>
          <w:highlight w:val="white"/>
        </w:rPr>
      </w:r>
      <w:r>
        <w:rPr>
          <w:color w:val="C00000"/>
        </w:rPr>
      </w:r>
      <w:r/>
    </w:p>
    <w:p>
      <w:pPr>
        <w:contextualSpacing/>
        <w:ind w:firstLine="708"/>
        <w:jc w:val="both"/>
        <w:spacing w:after="0" w:line="276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2025 году Контрольно-счетной палатой будет продолжена работа по совершенствованию внешнего муниципального финансового контроля, повышению его качества и эффективности.</w:t>
      </w:r>
      <w:r>
        <w:rPr>
          <w:color w:val="000000" w:themeColor="text1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C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C00000"/>
          <w:sz w:val="28"/>
          <w:szCs w:val="28"/>
          <w:highlight w:val="white"/>
        </w:rPr>
      </w:r>
      <w:r>
        <w:rPr>
          <w:color w:val="C00000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C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C00000"/>
          <w:sz w:val="28"/>
          <w:szCs w:val="28"/>
          <w:highlight w:val="white"/>
        </w:rPr>
      </w:r>
      <w:r>
        <w:rPr>
          <w:color w:val="C0000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Председатель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                                                              Е.Г.Дейнега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882"/>
        <w:jc w:val="center"/>
        <w:rPr>
          <w:sz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pStyle w:val="882"/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1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</w:pPr>
    <w:fldSimple w:instr="PAGE \* MERGEFORMAT">
      <w:r>
        <w:t xml:space="preserve">1</w:t>
      </w:r>
    </w:fldSimple>
    <w:r/>
    <w:r/>
  </w:p>
  <w:p>
    <w:pPr>
      <w:pStyle w:val="8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center"/>
    </w:pPr>
    <w:r/>
    <w:r/>
  </w:p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525"/>
        <w:tabs>
          <w:tab w:val="num" w:pos="82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-"/>
      <w:lvlJc w:val="left"/>
      <w:pPr>
        <w:ind w:left="1545" w:hanging="525"/>
        <w:tabs>
          <w:tab w:val="num" w:pos="1545" w:leader="none"/>
        </w:tabs>
      </w:pPr>
      <w:rPr>
        <w:rFonts w:ascii="Times New Roman" w:hAnsi="Times New Roman" w:cs="Times New Roman" w:eastAsia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00" w:hanging="180"/>
        <w:tabs>
          <w:tab w:val="num" w:pos="21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20" w:hanging="360"/>
        <w:tabs>
          <w:tab w:val="num" w:pos="28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40" w:hanging="360"/>
        <w:tabs>
          <w:tab w:val="num" w:pos="35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60" w:hanging="180"/>
        <w:tabs>
          <w:tab w:val="num" w:pos="42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80" w:hanging="360"/>
        <w:tabs>
          <w:tab w:val="num" w:pos="49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00" w:hanging="360"/>
        <w:tabs>
          <w:tab w:val="num" w:pos="57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20" w:hanging="180"/>
        <w:tabs>
          <w:tab w:val="num" w:pos="642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Title Char"/>
    <w:basedOn w:val="680"/>
    <w:link w:val="697"/>
    <w:uiPriority w:val="10"/>
    <w:rPr>
      <w:sz w:val="48"/>
      <w:szCs w:val="48"/>
    </w:rPr>
  </w:style>
  <w:style w:type="character" w:styleId="671">
    <w:name w:val="Subtitle Char"/>
    <w:basedOn w:val="680"/>
    <w:link w:val="699"/>
    <w:uiPriority w:val="11"/>
    <w:rPr>
      <w:sz w:val="24"/>
      <w:szCs w:val="24"/>
    </w:rPr>
  </w:style>
  <w:style w:type="character" w:styleId="672">
    <w:name w:val="Quote Char"/>
    <w:link w:val="701"/>
    <w:uiPriority w:val="29"/>
    <w:rPr>
      <w:i/>
    </w:rPr>
  </w:style>
  <w:style w:type="character" w:styleId="673">
    <w:name w:val="Intense Quote Char"/>
    <w:link w:val="703"/>
    <w:uiPriority w:val="30"/>
    <w:rPr>
      <w:i/>
    </w:rPr>
  </w:style>
  <w:style w:type="character" w:styleId="674">
    <w:name w:val="Footnote Text Char"/>
    <w:link w:val="836"/>
    <w:uiPriority w:val="99"/>
    <w:rPr>
      <w:sz w:val="18"/>
    </w:rPr>
  </w:style>
  <w:style w:type="character" w:styleId="675">
    <w:name w:val="Endnote Text Char"/>
    <w:link w:val="839"/>
    <w:uiPriority w:val="99"/>
    <w:rPr>
      <w:sz w:val="20"/>
    </w:rPr>
  </w:style>
  <w:style w:type="paragraph" w:styleId="676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77">
    <w:name w:val="Heading 1"/>
    <w:basedOn w:val="676"/>
    <w:next w:val="676"/>
    <w:qFormat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678">
    <w:name w:val="Heading 3"/>
    <w:basedOn w:val="676"/>
    <w:next w:val="676"/>
    <w:qFormat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679">
    <w:name w:val="Heading 4"/>
    <w:basedOn w:val="676"/>
    <w:next w:val="676"/>
    <w:qFormat/>
    <w:pPr>
      <w:jc w:val="center"/>
      <w:keepNext/>
      <w:spacing w:after="0" w:line="240" w:lineRule="auto"/>
      <w:outlineLvl w:val="3"/>
    </w:pPr>
    <w:rPr>
      <w:rFonts w:ascii="Times New Roman" w:hAnsi="Times New Roman"/>
      <w:sz w:val="28"/>
      <w:szCs w:val="24"/>
      <w:lang w:eastAsia="ru-RU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Heading 1 Char"/>
    <w:basedOn w:val="680"/>
    <w:link w:val="853"/>
    <w:uiPriority w:val="9"/>
    <w:rPr>
      <w:rFonts w:ascii="Arial" w:hAnsi="Arial" w:cs="Arial" w:eastAsia="Arial"/>
      <w:sz w:val="40"/>
      <w:szCs w:val="40"/>
    </w:rPr>
  </w:style>
  <w:style w:type="character" w:styleId="684" w:customStyle="1">
    <w:name w:val="Heading 2 Char"/>
    <w:basedOn w:val="680"/>
    <w:link w:val="854"/>
    <w:uiPriority w:val="9"/>
    <w:rPr>
      <w:rFonts w:ascii="Arial" w:hAnsi="Arial" w:cs="Arial" w:eastAsia="Arial"/>
      <w:sz w:val="34"/>
    </w:rPr>
  </w:style>
  <w:style w:type="character" w:styleId="685" w:customStyle="1">
    <w:name w:val="Heading 3 Char"/>
    <w:basedOn w:val="680"/>
    <w:link w:val="855"/>
    <w:uiPriority w:val="9"/>
    <w:rPr>
      <w:rFonts w:ascii="Arial" w:hAnsi="Arial" w:cs="Arial" w:eastAsia="Arial"/>
      <w:sz w:val="30"/>
      <w:szCs w:val="30"/>
    </w:rPr>
  </w:style>
  <w:style w:type="character" w:styleId="686" w:customStyle="1">
    <w:name w:val="Heading 4 Char"/>
    <w:basedOn w:val="680"/>
    <w:link w:val="856"/>
    <w:uiPriority w:val="9"/>
    <w:rPr>
      <w:rFonts w:ascii="Arial" w:hAnsi="Arial" w:cs="Arial" w:eastAsia="Arial"/>
      <w:b/>
      <w:bCs/>
      <w:sz w:val="26"/>
      <w:szCs w:val="26"/>
    </w:rPr>
  </w:style>
  <w:style w:type="paragraph" w:styleId="687" w:customStyle="1">
    <w:name w:val="Heading 5"/>
    <w:basedOn w:val="676"/>
    <w:next w:val="676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8" w:customStyle="1">
    <w:name w:val="Heading 5 Char"/>
    <w:basedOn w:val="680"/>
    <w:link w:val="687"/>
    <w:uiPriority w:val="9"/>
    <w:rPr>
      <w:rFonts w:ascii="Arial" w:hAnsi="Arial" w:cs="Arial" w:eastAsia="Arial"/>
      <w:b/>
      <w:bCs/>
      <w:sz w:val="24"/>
      <w:szCs w:val="24"/>
    </w:rPr>
  </w:style>
  <w:style w:type="paragraph" w:styleId="689" w:customStyle="1">
    <w:name w:val="Heading 6"/>
    <w:basedOn w:val="676"/>
    <w:next w:val="676"/>
    <w:link w:val="690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90" w:customStyle="1">
    <w:name w:val="Heading 6 Char"/>
    <w:basedOn w:val="680"/>
    <w:link w:val="689"/>
    <w:uiPriority w:val="9"/>
    <w:rPr>
      <w:rFonts w:ascii="Arial" w:hAnsi="Arial" w:cs="Arial" w:eastAsia="Arial"/>
      <w:b/>
      <w:bCs/>
      <w:sz w:val="22"/>
      <w:szCs w:val="22"/>
    </w:rPr>
  </w:style>
  <w:style w:type="paragraph" w:styleId="691" w:customStyle="1">
    <w:name w:val="Heading 7"/>
    <w:basedOn w:val="676"/>
    <w:next w:val="676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692" w:customStyle="1">
    <w:name w:val="Heading 7 Char"/>
    <w:basedOn w:val="680"/>
    <w:link w:val="69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3" w:customStyle="1">
    <w:name w:val="Heading 8"/>
    <w:basedOn w:val="676"/>
    <w:next w:val="676"/>
    <w:link w:val="694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694" w:customStyle="1">
    <w:name w:val="Heading 8 Char"/>
    <w:basedOn w:val="680"/>
    <w:link w:val="693"/>
    <w:uiPriority w:val="9"/>
    <w:rPr>
      <w:rFonts w:ascii="Arial" w:hAnsi="Arial" w:cs="Arial" w:eastAsia="Arial"/>
      <w:i/>
      <w:iCs/>
      <w:sz w:val="22"/>
      <w:szCs w:val="22"/>
    </w:rPr>
  </w:style>
  <w:style w:type="paragraph" w:styleId="695" w:customStyle="1">
    <w:name w:val="Heading 9"/>
    <w:basedOn w:val="676"/>
    <w:next w:val="676"/>
    <w:link w:val="696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6" w:customStyle="1">
    <w:name w:val="Heading 9 Char"/>
    <w:basedOn w:val="680"/>
    <w:link w:val="695"/>
    <w:uiPriority w:val="9"/>
    <w:rPr>
      <w:rFonts w:ascii="Arial" w:hAnsi="Arial" w:cs="Arial" w:eastAsia="Arial"/>
      <w:i/>
      <w:iCs/>
      <w:sz w:val="21"/>
      <w:szCs w:val="21"/>
    </w:rPr>
  </w:style>
  <w:style w:type="paragraph" w:styleId="697">
    <w:name w:val="Title"/>
    <w:basedOn w:val="676"/>
    <w:next w:val="676"/>
    <w:link w:val="698"/>
    <w:uiPriority w:val="10"/>
    <w:qFormat/>
    <w:pPr>
      <w:contextualSpacing/>
      <w:spacing w:before="300"/>
    </w:pPr>
    <w:rPr>
      <w:sz w:val="48"/>
      <w:szCs w:val="48"/>
    </w:rPr>
  </w:style>
  <w:style w:type="character" w:styleId="698" w:customStyle="1">
    <w:name w:val="Название Знак"/>
    <w:basedOn w:val="680"/>
    <w:link w:val="697"/>
    <w:uiPriority w:val="10"/>
    <w:rPr>
      <w:sz w:val="48"/>
      <w:szCs w:val="48"/>
    </w:rPr>
  </w:style>
  <w:style w:type="paragraph" w:styleId="699">
    <w:name w:val="Subtitle"/>
    <w:basedOn w:val="676"/>
    <w:next w:val="676"/>
    <w:link w:val="700"/>
    <w:uiPriority w:val="11"/>
    <w:qFormat/>
    <w:pPr>
      <w:spacing w:before="200"/>
    </w:pPr>
    <w:rPr>
      <w:sz w:val="24"/>
      <w:szCs w:val="24"/>
    </w:rPr>
  </w:style>
  <w:style w:type="character" w:styleId="700" w:customStyle="1">
    <w:name w:val="Подзаголовок Знак"/>
    <w:basedOn w:val="680"/>
    <w:link w:val="699"/>
    <w:uiPriority w:val="11"/>
    <w:rPr>
      <w:sz w:val="24"/>
      <w:szCs w:val="24"/>
    </w:rPr>
  </w:style>
  <w:style w:type="paragraph" w:styleId="701">
    <w:name w:val="Quote"/>
    <w:basedOn w:val="676"/>
    <w:next w:val="676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76"/>
    <w:next w:val="676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character" w:styleId="705" w:customStyle="1">
    <w:name w:val="Header Char"/>
    <w:basedOn w:val="680"/>
    <w:link w:val="861"/>
    <w:uiPriority w:val="99"/>
  </w:style>
  <w:style w:type="character" w:styleId="706" w:customStyle="1">
    <w:name w:val="Footer Char"/>
    <w:basedOn w:val="680"/>
    <w:link w:val="863"/>
    <w:uiPriority w:val="99"/>
  </w:style>
  <w:style w:type="paragraph" w:styleId="707" w:customStyle="1">
    <w:name w:val="Caption"/>
    <w:basedOn w:val="676"/>
    <w:next w:val="67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8" w:customStyle="1">
    <w:name w:val="Caption Char"/>
    <w:link w:val="863"/>
    <w:uiPriority w:val="99"/>
  </w:style>
  <w:style w:type="table" w:styleId="709">
    <w:name w:val="Table Grid"/>
    <w:basedOn w:val="68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basedOn w:val="68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Plain Table 1"/>
    <w:basedOn w:val="68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2"/>
    <w:basedOn w:val="68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3"/>
    <w:basedOn w:val="6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 w:customStyle="1">
    <w:name w:val="Plain Table 4"/>
    <w:basedOn w:val="6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Plain Table 5"/>
    <w:basedOn w:val="6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1 Light"/>
    <w:basedOn w:val="68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2"/>
    <w:basedOn w:val="68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"/>
    <w:basedOn w:val="68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4"/>
    <w:basedOn w:val="68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basedOn w:val="68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basedOn w:val="68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basedOn w:val="68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basedOn w:val="68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basedOn w:val="68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 w:customStyle="1">
    <w:name w:val="Grid Table 5 Dark"/>
    <w:basedOn w:val="68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6 Colorful"/>
    <w:basedOn w:val="68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basedOn w:val="68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basedOn w:val="68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basedOn w:val="68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basedOn w:val="68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basedOn w:val="68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7 Colorful"/>
    <w:basedOn w:val="68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1"/>
    <w:basedOn w:val="68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 w:customStyle="1">
    <w:name w:val="Grid Table 7 Colorful - Accent 2"/>
    <w:basedOn w:val="68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 w:customStyle="1">
    <w:name w:val="Grid Table 7 Colorful - Accent 3"/>
    <w:basedOn w:val="68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2" w:customStyle="1">
    <w:name w:val="Grid Table 7 Colorful - Accent 4"/>
    <w:basedOn w:val="68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5"/>
    <w:basedOn w:val="68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Grid Table 7 Colorful - Accent 6"/>
    <w:basedOn w:val="68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List Table 1 Light"/>
    <w:basedOn w:val="6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2"/>
    <w:basedOn w:val="68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 w:customStyle="1">
    <w:name w:val="List Table 3"/>
    <w:basedOn w:val="68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"/>
    <w:basedOn w:val="68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5 Dark"/>
    <w:basedOn w:val="68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6 Colorful"/>
    <w:basedOn w:val="68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basedOn w:val="68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basedOn w:val="68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basedOn w:val="68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basedOn w:val="68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basedOn w:val="68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 w:customStyle="1">
    <w:name w:val="List Table 7 Colorful"/>
    <w:basedOn w:val="68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1"/>
    <w:basedOn w:val="68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st Table 7 Colorful - Accent 2"/>
    <w:basedOn w:val="68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List Table 7 Colorful - Accent 3"/>
    <w:basedOn w:val="68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List Table 7 Colorful - Accent 4"/>
    <w:basedOn w:val="68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5"/>
    <w:basedOn w:val="68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st Table 7 Colorful - Accent 6"/>
    <w:basedOn w:val="68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ned - Accent"/>
    <w:basedOn w:val="68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basedOn w:val="68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basedOn w:val="68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basedOn w:val="68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basedOn w:val="68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basedOn w:val="68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basedOn w:val="68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basedOn w:val="68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basedOn w:val="68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basedOn w:val="68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basedOn w:val="68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basedOn w:val="68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basedOn w:val="68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basedOn w:val="68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basedOn w:val="68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basedOn w:val="68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basedOn w:val="68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basedOn w:val="68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76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0"/>
    <w:uiPriority w:val="99"/>
    <w:unhideWhenUsed/>
    <w:rPr>
      <w:vertAlign w:val="superscript"/>
    </w:rPr>
  </w:style>
  <w:style w:type="paragraph" w:styleId="839">
    <w:name w:val="endnote text"/>
    <w:basedOn w:val="676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0"/>
    <w:uiPriority w:val="99"/>
    <w:semiHidden/>
    <w:unhideWhenUsed/>
    <w:rPr>
      <w:vertAlign w:val="superscript"/>
    </w:rPr>
  </w:style>
  <w:style w:type="paragraph" w:styleId="842">
    <w:name w:val="toc 1"/>
    <w:basedOn w:val="676"/>
    <w:next w:val="676"/>
    <w:uiPriority w:val="39"/>
    <w:unhideWhenUsed/>
    <w:pPr>
      <w:spacing w:after="57"/>
    </w:pPr>
  </w:style>
  <w:style w:type="paragraph" w:styleId="843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44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45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46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47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48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49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50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6"/>
    <w:next w:val="676"/>
    <w:uiPriority w:val="99"/>
    <w:unhideWhenUsed/>
    <w:pPr>
      <w:spacing w:after="0"/>
    </w:pPr>
  </w:style>
  <w:style w:type="paragraph" w:styleId="853" w:customStyle="1">
    <w:name w:val="Heading 1"/>
    <w:basedOn w:val="676"/>
    <w:next w:val="676"/>
    <w:link w:val="857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54" w:customStyle="1">
    <w:name w:val="Heading 2"/>
    <w:basedOn w:val="676"/>
    <w:next w:val="676"/>
    <w:link w:val="858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55" w:customStyle="1">
    <w:name w:val="Heading 3"/>
    <w:basedOn w:val="676"/>
    <w:next w:val="676"/>
    <w:link w:val="859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56" w:customStyle="1">
    <w:name w:val="Heading 4"/>
    <w:basedOn w:val="676"/>
    <w:next w:val="676"/>
    <w:link w:val="873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57" w:customStyle="1">
    <w:name w:val="Заголовок 1 Знак"/>
    <w:basedOn w:val="680"/>
    <w:link w:val="853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58" w:customStyle="1">
    <w:name w:val="Заголовок 2 Знак"/>
    <w:basedOn w:val="680"/>
    <w:link w:val="854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59" w:customStyle="1">
    <w:name w:val="Заголовок 3 Знак"/>
    <w:basedOn w:val="680"/>
    <w:link w:val="855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60">
    <w:name w:val="No Spacing"/>
    <w:uiPriority w:val="1"/>
    <w:qFormat/>
    <w:rPr>
      <w:sz w:val="22"/>
      <w:szCs w:val="22"/>
    </w:rPr>
  </w:style>
  <w:style w:type="paragraph" w:styleId="861" w:customStyle="1">
    <w:name w:val="Header"/>
    <w:basedOn w:val="676"/>
    <w:link w:val="862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680"/>
    <w:link w:val="861"/>
    <w:uiPriority w:val="99"/>
    <w:rPr>
      <w:sz w:val="22"/>
      <w:szCs w:val="22"/>
    </w:rPr>
  </w:style>
  <w:style w:type="paragraph" w:styleId="863" w:customStyle="1">
    <w:name w:val="Footer"/>
    <w:basedOn w:val="676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680"/>
    <w:link w:val="863"/>
    <w:uiPriority w:val="99"/>
    <w:rPr>
      <w:sz w:val="22"/>
      <w:szCs w:val="22"/>
    </w:rPr>
  </w:style>
  <w:style w:type="paragraph" w:styleId="865">
    <w:name w:val="Body Text"/>
    <w:basedOn w:val="676"/>
    <w:link w:val="866"/>
    <w:semiHidden/>
    <w:pPr>
      <w:spacing w:after="0" w:line="240" w:lineRule="auto"/>
      <w:shd w:val="clear" w:color="auto" w:fill="ffffff"/>
    </w:pPr>
    <w:rPr>
      <w:rFonts w:ascii="Times New Roman" w:hAnsi="Times New Roman"/>
      <w:color w:val="000000"/>
      <w:sz w:val="28"/>
      <w:szCs w:val="14"/>
      <w:lang w:eastAsia="ru-RU"/>
    </w:rPr>
  </w:style>
  <w:style w:type="character" w:styleId="866" w:customStyle="1">
    <w:name w:val="Основной текст Знак"/>
    <w:basedOn w:val="680"/>
    <w:link w:val="865"/>
    <w:semiHidden/>
    <w:rPr>
      <w:rFonts w:ascii="Times New Roman" w:hAnsi="Times New Roman"/>
      <w:color w:val="000000"/>
      <w:sz w:val="28"/>
      <w:szCs w:val="14"/>
      <w:shd w:val="clear" w:color="auto" w:fill="ffffff"/>
      <w:lang w:eastAsia="ru-RU"/>
    </w:rPr>
  </w:style>
  <w:style w:type="paragraph" w:styleId="867">
    <w:name w:val="Body Text Indent"/>
    <w:basedOn w:val="676"/>
    <w:link w:val="868"/>
    <w:semiHidden/>
    <w:pPr>
      <w:ind w:firstLine="708"/>
      <w:jc w:val="both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styleId="868" w:customStyle="1">
    <w:name w:val="Основной текст с отступом Знак"/>
    <w:basedOn w:val="680"/>
    <w:link w:val="867"/>
    <w:semiHidden/>
    <w:rPr>
      <w:rFonts w:ascii="Times New Roman" w:hAnsi="Times New Roman"/>
      <w:sz w:val="28"/>
      <w:szCs w:val="24"/>
      <w:lang w:eastAsia="ru-RU"/>
    </w:rPr>
  </w:style>
  <w:style w:type="paragraph" w:styleId="869">
    <w:name w:val="Body Text 3"/>
    <w:basedOn w:val="676"/>
    <w:link w:val="870"/>
    <w:semiHidden/>
    <w:pPr>
      <w:jc w:val="both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styleId="870" w:customStyle="1">
    <w:name w:val="Основной текст 3 Знак"/>
    <w:basedOn w:val="680"/>
    <w:link w:val="869"/>
    <w:semiHidden/>
    <w:rPr>
      <w:rFonts w:ascii="Times New Roman" w:hAnsi="Times New Roman"/>
      <w:sz w:val="28"/>
      <w:szCs w:val="24"/>
      <w:lang w:eastAsia="ru-RU"/>
    </w:rPr>
  </w:style>
  <w:style w:type="paragraph" w:styleId="871">
    <w:name w:val="Balloon Text"/>
    <w:basedOn w:val="676"/>
    <w:link w:val="8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2" w:customStyle="1">
    <w:name w:val="Текст выноски Знак"/>
    <w:basedOn w:val="680"/>
    <w:link w:val="871"/>
    <w:uiPriority w:val="99"/>
    <w:semiHidden/>
    <w:rPr>
      <w:rFonts w:ascii="Tahoma" w:hAnsi="Tahoma" w:cs="Tahoma"/>
      <w:sz w:val="16"/>
      <w:szCs w:val="16"/>
    </w:rPr>
  </w:style>
  <w:style w:type="character" w:styleId="873" w:customStyle="1">
    <w:name w:val="Заголовок 4 Знак"/>
    <w:basedOn w:val="680"/>
    <w:link w:val="856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  <w:style w:type="paragraph" w:styleId="874">
    <w:name w:val="List Paragraph"/>
    <w:basedOn w:val="676"/>
    <w:uiPriority w:val="34"/>
    <w:qFormat/>
    <w:pPr>
      <w:contextualSpacing/>
      <w:ind w:left="720"/>
    </w:pPr>
  </w:style>
  <w:style w:type="paragraph" w:styleId="875">
    <w:name w:val="Header"/>
    <w:basedOn w:val="676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1"/>
    <w:basedOn w:val="680"/>
    <w:link w:val="875"/>
    <w:uiPriority w:val="99"/>
    <w:semiHidden/>
    <w:rPr>
      <w:sz w:val="22"/>
      <w:szCs w:val="22"/>
    </w:rPr>
  </w:style>
  <w:style w:type="paragraph" w:styleId="877">
    <w:name w:val="Footer"/>
    <w:basedOn w:val="676"/>
    <w:link w:val="87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1"/>
    <w:basedOn w:val="680"/>
    <w:link w:val="877"/>
    <w:uiPriority w:val="99"/>
    <w:semiHidden/>
    <w:rPr>
      <w:sz w:val="22"/>
      <w:szCs w:val="22"/>
    </w:rPr>
  </w:style>
  <w:style w:type="character" w:styleId="879" w:customStyle="1">
    <w:name w:val="Заголовок 1 Знак1"/>
    <w:basedOn w:val="680"/>
    <w:link w:val="67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80" w:customStyle="1">
    <w:name w:val="Заголовок 3 Знак1"/>
    <w:basedOn w:val="680"/>
    <w:link w:val="678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styleId="881" w:customStyle="1">
    <w:name w:val="Заголовок 4 Знак1"/>
    <w:basedOn w:val="680"/>
    <w:link w:val="679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  <w:style w:type="paragraph" w:styleId="882">
    <w:name w:val="Заголовок 1"/>
    <w:p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cs="Times New Roman" w:eastAsia="Times New Roman"/>
      <w:b/>
      <w:bCs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883">
    <w:name w:val="Заголовок 3"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cs="Times New Roman" w:eastAsia="Times New Roman"/>
      <w:b/>
      <w:bCs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884">
    <w:name w:val="Заголовок 4"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885">
    <w:name w:val="Основной текст 3"/>
    <w:semiHidden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/>
      <w:i w:val="0"/>
      <w:iCs w:val="0"/>
      <w:caps w:val="0"/>
      <w:smallCaps w:val="0"/>
      <w:strike w:val="false"/>
      <w:vanish w:val="false"/>
      <w:color w:val="000000"/>
      <w:spacing w:val="0"/>
      <w:position w:val="0"/>
      <w:sz w:val="16"/>
      <w:szCs w:val="16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886">
    <w:name w:val="Основной текст 2"/>
    <w:semiHidden/>
    <w:pPr>
      <w:contextualSpacing w:val="0"/>
      <w:ind w:left="0" w:right="-5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s://internet.garant.ru/#/document/12112604/entry/27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A11D-DD68-48B3-B85B-33ABEB7A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46</cp:revision>
  <dcterms:created xsi:type="dcterms:W3CDTF">2021-02-25T13:04:00Z</dcterms:created>
  <dcterms:modified xsi:type="dcterms:W3CDTF">2025-05-12T13:53:14Z</dcterms:modified>
</cp:coreProperties>
</file>