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 xml:space="preserve">Проверка бюджетной </w:t>
      </w:r>
      <w:r>
        <w:rPr>
          <w:rFonts w:ascii="Times New Roman" w:hAnsi="Times New Roman"/>
          <w:b/>
          <w:sz w:val="28"/>
          <w:szCs w:val="28"/>
        </w:rPr>
        <w:t xml:space="preserve">отчетности главных администраторов средств бюджета муниципального образования</w:t>
      </w:r>
      <w:r>
        <w:rPr>
          <w:rFonts w:ascii="Times New Roman" w:hAnsi="Times New Roman"/>
          <w:b/>
          <w:sz w:val="28"/>
          <w:szCs w:val="28"/>
        </w:rPr>
        <w:t xml:space="preserve"> Староминский район и средств бюджетов сельских поселений, входящих в состав Староминского района за 2022 год</w:t>
      </w:r>
      <w:r>
        <w:rPr>
          <w:rFonts w:ascii="Times New Roman" w:hAnsi="Times New Roman"/>
          <w:b/>
          <w:sz w:val="28"/>
          <w:szCs w:val="28"/>
        </w:rPr>
      </w:r>
      <w:r/>
    </w:p>
    <w:p>
      <w:pPr>
        <w:jc w:val="center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/>
    </w:p>
    <w:p>
      <w:pPr>
        <w:ind w:firstLine="708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требованиями Бюджетного кодекса РФ, на основании плана работы контрольно-счетной палаты муниципального образования Староминский район на 2023 год контрольно-счетная палата муниципального образования С</w:t>
      </w:r>
      <w:r>
        <w:rPr>
          <w:rFonts w:ascii="Times New Roman" w:hAnsi="Times New Roman"/>
          <w:sz w:val="28"/>
          <w:szCs w:val="28"/>
        </w:rPr>
        <w:t xml:space="preserve">тароминский район провела проверку бюджетной отчетности главных администраторов средств бюджета муниципального образования Староминский район и главных администраторов средств бюджетов сельских поселений, входящих в состав Староминского района за 2022 год.</w:t>
      </w:r>
      <w:r>
        <w:rPr>
          <w:rFonts w:ascii="Times New Roman" w:hAnsi="Times New Roman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ab/>
        <w:t xml:space="preserve">В 20</w:t>
      </w:r>
      <w:r>
        <w:rPr>
          <w:rFonts w:ascii="Times New Roman" w:hAnsi="Times New Roman"/>
          <w:sz w:val="28"/>
          <w:szCs w:val="28"/>
        </w:rPr>
        <w:t xml:space="preserve">22 году бюджет муниципального образования Староминский район исполняли 8 главных распорядителей, бюджеты сельских поселений 5 главных распорядителей. </w:t>
      </w:r>
      <w:r>
        <w:rPr>
          <w:rFonts w:ascii="Times New Roman" w:hAnsi="Times New Roman"/>
          <w:sz w:val="28"/>
          <w:szCs w:val="28"/>
        </w:rPr>
      </w:r>
      <w:r/>
    </w:p>
    <w:p>
      <w:pPr>
        <w:ind w:firstLine="708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В ходе проверки выявлено: </w:t>
      </w:r>
      <w:r>
        <w:rPr>
          <w:rFonts w:ascii="Times New Roman" w:hAnsi="Times New Roman"/>
          <w:sz w:val="28"/>
          <w:szCs w:val="28"/>
        </w:rPr>
      </w:r>
      <w:r/>
    </w:p>
    <w:p>
      <w:pPr>
        <w:ind w:firstLine="708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- в нарушение Приказа Минфина России от 1 сентября 2021г. №120н аудиторские мероприятия не проводились;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</w:r>
      <w:r/>
    </w:p>
    <w:p>
      <w:pPr>
        <w:ind w:firstLine="708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нарушены требования ст.34 Бюджетного кодекса РФ;</w:t>
      </w:r>
      <w:r/>
    </w:p>
    <w:p>
      <w:pPr>
        <w:ind w:left="0" w:right="0"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 нарушение ст.11 Федерального закона от 06.12.2011 №402-ФЗ «О бухгалтерском учете», п.7 Инструкции №191н, Федерального стандарта бухгалтерского учета для организаций государственного сектора «Концептуальные основы бухгалтерского учета и отчетности организаций государственного сектора» инвентаризация имущества отраженного на счете з26 не проведена, инвентаризационная опись отсутствует;</w:t>
      </w:r>
      <w:r/>
    </w:p>
    <w:p>
      <w:pPr>
        <w:ind w:left="0" w:right="0" w:firstLine="1057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-нарушен</w:t>
      </w:r>
      <w:r>
        <w:rPr>
          <w:rFonts w:ascii="Times New Roman" w:hAnsi="Times New Roman"/>
          <w:sz w:val="28"/>
          <w:szCs w:val="28"/>
        </w:rPr>
        <w:t xml:space="preserve">ия требований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 с изменениями и дополнениями, утвержденной приказом Минфина РФ от 28.12.2010 года №191н;</w:t>
      </w:r>
      <w:r>
        <w:rPr>
          <w:rFonts w:ascii="Times New Roman" w:hAnsi="Times New Roman"/>
          <w:sz w:val="28"/>
          <w:szCs w:val="28"/>
        </w:rPr>
      </w:r>
      <w:r/>
    </w:p>
    <w:p>
      <w:pPr>
        <w:ind w:firstLine="708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</w:t>
      </w:r>
      <w:r>
        <w:rPr>
          <w:rFonts w:ascii="Times New Roman" w:hAnsi="Times New Roman"/>
          <w:sz w:val="28"/>
          <w:szCs w:val="28"/>
        </w:rPr>
        <w:t xml:space="preserve"> нарушения требований приказа Минфин</w:t>
      </w:r>
      <w:r>
        <w:rPr>
          <w:rFonts w:ascii="Times New Roman" w:hAnsi="Times New Roman"/>
          <w:sz w:val="28"/>
          <w:szCs w:val="28"/>
        </w:rPr>
        <w:t xml:space="preserve">а России от 30.03.2015 №52н «Об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</w:t>
      </w:r>
      <w:r>
        <w:rPr>
          <w:rFonts w:ascii="Times New Roman" w:hAnsi="Times New Roman"/>
          <w:sz w:val="28"/>
          <w:szCs w:val="28"/>
        </w:rPr>
        <w:t xml:space="preserve">внебюджетными фондами, государственными (муниципальными) учреждениями, и Методических указаний по их применению»</w:t>
      </w:r>
      <w:r>
        <w:rPr>
          <w:rFonts w:ascii="Times New Roman" w:hAnsi="Times New Roman"/>
          <w:sz w:val="28"/>
          <w:szCs w:val="28"/>
        </w:rPr>
        <w:t xml:space="preserve"> и так далее.</w:t>
      </w:r>
      <w:r>
        <w:rPr>
          <w:rFonts w:ascii="Times New Roman" w:hAnsi="Times New Roman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ab/>
        <w:t xml:space="preserve">По результатам внешней проверки годовой бюджетной отчетности контрольно-счетная</w:t>
      </w:r>
      <w:r>
        <w:rPr>
          <w:rFonts w:ascii="Times New Roman" w:hAnsi="Times New Roman"/>
          <w:sz w:val="28"/>
          <w:szCs w:val="28"/>
        </w:rPr>
        <w:t xml:space="preserve"> палата направила главным администраторам бюджетных средств, допустивших в своей работе нарушения бюджетно-финансовых и иных нормативных документов, соответствующие представления для устранения выявленных недостатков в работе и предотвращения их в будущем.</w:t>
      </w:r>
      <w:r>
        <w:rPr>
          <w:rFonts w:ascii="Times New Roman" w:hAnsi="Times New Roman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  <w:highlight w:val="none"/>
        </w:rPr>
        <w:tab/>
        <w:t xml:space="preserve">Составлены протокола об административных правонарушениях по ч.4 ст.15.15.6 КоАП РФ в отношении руководителя муниципального казенного учреждения «Централизованная бухгалтерия администрации Канеловского сельского поселения Староминского района» и по ч.20 ст.19.5 КоАП РФ в отношении должностного лица </w:t>
      </w:r>
      <w:r>
        <w:rPr>
          <w:rFonts w:ascii="Times New Roman" w:hAnsi="Times New Roman"/>
          <w:sz w:val="28"/>
          <w:szCs w:val="28"/>
          <w:highlight w:val="none"/>
        </w:rPr>
        <w:t xml:space="preserve">администрации Канеловского сельского поселения Староминского</w:t>
      </w:r>
      <w:r>
        <w:rPr>
          <w:rFonts w:ascii="Times New Roman" w:hAnsi="Times New Roman"/>
          <w:sz w:val="28"/>
          <w:szCs w:val="28"/>
          <w:highlight w:val="none"/>
        </w:rPr>
        <w:t xml:space="preserve"> района, протокола переданы в суд Староминского района. По решениям суда должностные лица признаны виновными в совершении административного правонарушения, предусмотренного ч.4 ст.15.15.6 КоАП РФ и по ч.20 ст.19.5 КоАП РФ соответственно и назначены им административные наказания в виде административных штрафов.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highlight w:val="none"/>
        </w:rPr>
        <w:tab/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 xml:space="preserve">Главе муниципального образования</w:t>
      </w:r>
      <w:r>
        <w:rPr>
          <w:rFonts w:ascii="Times New Roman" w:hAnsi="Times New Roman"/>
          <w:sz w:val="28"/>
          <w:szCs w:val="28"/>
        </w:rPr>
        <w:t xml:space="preserve"> Староминский район и главам сельских поселений Староминского района, а также председателю Совета муниципального образования Староминский район и председателям Советов сельских поселений Староминского района направлены информационные письма по результатам </w:t>
      </w:r>
      <w:r>
        <w:rPr>
          <w:rFonts w:ascii="Times New Roman" w:hAnsi="Times New Roman"/>
          <w:sz w:val="28"/>
          <w:szCs w:val="28"/>
        </w:rPr>
        <w:t xml:space="preserve">проверки бюджетной отчетности главных администраторов средств бюджетов</w:t>
      </w:r>
      <w:r>
        <w:rPr>
          <w:rFonts w:ascii="Times New Roman" w:hAnsi="Times New Roman"/>
          <w:sz w:val="28"/>
          <w:szCs w:val="28"/>
        </w:rPr>
        <w:t xml:space="preserve"> за 20</w:t>
      </w:r>
      <w:r>
        <w:rPr>
          <w:rFonts w:ascii="Times New Roman" w:hAnsi="Times New Roman"/>
          <w:sz w:val="28"/>
          <w:szCs w:val="28"/>
        </w:rPr>
        <w:t xml:space="preserve">22 год.</w:t>
      </w:r>
      <w:r>
        <w:rPr>
          <w:rFonts w:ascii="Times New Roman" w:hAnsi="Times New Roman"/>
          <w:sz w:val="28"/>
          <w:szCs w:val="28"/>
        </w:rPr>
      </w:r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Wingdings">
    <w:panose1 w:val="05000000000000000000"/>
  </w:font>
  <w:font w:name="Arial">
    <w:panose1 w:val="020B0604020202020204"/>
  </w:font>
  <w:font w:name="Courier New">
    <w:panose1 w:val="020703090202050204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68" w:hanging="10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ascii="Arial" w:hAnsi="Arial" w:cs="Arial" w:eastAsia="Aria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ascii="Wingdings" w:hAnsi="Wingdings" w:cs="Wingdings" w:eastAsia="Wingdings" w:hint="default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cs="Arial" w:eastAsia="Aria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Times New Roman" w:eastAsia="Times New Roman" w:hint="default"/>
        <w:lang w:val="ru-RU" w:bidi="ar-SA" w:eastAsia="en-US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36">
    <w:name w:val="Heading 1 Char"/>
    <w:basedOn w:val="813"/>
    <w:link w:val="810"/>
    <w:uiPriority w:val="9"/>
    <w:rPr>
      <w:rFonts w:ascii="Arial" w:hAnsi="Arial" w:cs="Arial" w:eastAsia="Arial"/>
      <w:sz w:val="40"/>
      <w:szCs w:val="40"/>
    </w:rPr>
  </w:style>
  <w:style w:type="character" w:styleId="637">
    <w:name w:val="Heading 2 Char"/>
    <w:basedOn w:val="813"/>
    <w:link w:val="811"/>
    <w:uiPriority w:val="9"/>
    <w:rPr>
      <w:rFonts w:ascii="Arial" w:hAnsi="Arial" w:cs="Arial" w:eastAsia="Arial"/>
      <w:sz w:val="34"/>
    </w:rPr>
  </w:style>
  <w:style w:type="character" w:styleId="638">
    <w:name w:val="Heading 3 Char"/>
    <w:basedOn w:val="813"/>
    <w:link w:val="812"/>
    <w:uiPriority w:val="9"/>
    <w:rPr>
      <w:rFonts w:ascii="Arial" w:hAnsi="Arial" w:cs="Arial" w:eastAsia="Arial"/>
      <w:sz w:val="30"/>
      <w:szCs w:val="30"/>
    </w:rPr>
  </w:style>
  <w:style w:type="paragraph" w:styleId="639">
    <w:name w:val="Heading 4"/>
    <w:basedOn w:val="809"/>
    <w:next w:val="809"/>
    <w:link w:val="64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640">
    <w:name w:val="Heading 4 Char"/>
    <w:basedOn w:val="813"/>
    <w:link w:val="639"/>
    <w:uiPriority w:val="9"/>
    <w:rPr>
      <w:rFonts w:ascii="Arial" w:hAnsi="Arial" w:cs="Arial" w:eastAsia="Arial"/>
      <w:b/>
      <w:bCs/>
      <w:sz w:val="26"/>
      <w:szCs w:val="26"/>
    </w:rPr>
  </w:style>
  <w:style w:type="paragraph" w:styleId="641">
    <w:name w:val="Heading 5"/>
    <w:basedOn w:val="809"/>
    <w:next w:val="809"/>
    <w:link w:val="64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642">
    <w:name w:val="Heading 5 Char"/>
    <w:basedOn w:val="813"/>
    <w:link w:val="641"/>
    <w:uiPriority w:val="9"/>
    <w:rPr>
      <w:rFonts w:ascii="Arial" w:hAnsi="Arial" w:cs="Arial" w:eastAsia="Arial"/>
      <w:b/>
      <w:bCs/>
      <w:sz w:val="24"/>
      <w:szCs w:val="24"/>
    </w:rPr>
  </w:style>
  <w:style w:type="paragraph" w:styleId="643">
    <w:name w:val="Heading 6"/>
    <w:basedOn w:val="809"/>
    <w:next w:val="809"/>
    <w:link w:val="64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644">
    <w:name w:val="Heading 6 Char"/>
    <w:basedOn w:val="813"/>
    <w:link w:val="643"/>
    <w:uiPriority w:val="9"/>
    <w:rPr>
      <w:rFonts w:ascii="Arial" w:hAnsi="Arial" w:cs="Arial" w:eastAsia="Arial"/>
      <w:b/>
      <w:bCs/>
      <w:sz w:val="22"/>
      <w:szCs w:val="22"/>
    </w:rPr>
  </w:style>
  <w:style w:type="paragraph" w:styleId="645">
    <w:name w:val="Heading 7"/>
    <w:basedOn w:val="809"/>
    <w:next w:val="809"/>
    <w:link w:val="64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646">
    <w:name w:val="Heading 7 Char"/>
    <w:basedOn w:val="813"/>
    <w:link w:val="645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647">
    <w:name w:val="Heading 8"/>
    <w:basedOn w:val="809"/>
    <w:next w:val="809"/>
    <w:link w:val="64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648">
    <w:name w:val="Heading 8 Char"/>
    <w:basedOn w:val="813"/>
    <w:link w:val="647"/>
    <w:uiPriority w:val="9"/>
    <w:rPr>
      <w:rFonts w:ascii="Arial" w:hAnsi="Arial" w:cs="Arial" w:eastAsia="Arial"/>
      <w:i/>
      <w:iCs/>
      <w:sz w:val="22"/>
      <w:szCs w:val="22"/>
    </w:rPr>
  </w:style>
  <w:style w:type="paragraph" w:styleId="649">
    <w:name w:val="Heading 9"/>
    <w:basedOn w:val="809"/>
    <w:next w:val="809"/>
    <w:link w:val="65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650">
    <w:name w:val="Heading 9 Char"/>
    <w:basedOn w:val="813"/>
    <w:link w:val="649"/>
    <w:uiPriority w:val="9"/>
    <w:rPr>
      <w:rFonts w:ascii="Arial" w:hAnsi="Arial" w:cs="Arial" w:eastAsia="Arial"/>
      <w:i/>
      <w:iCs/>
      <w:sz w:val="21"/>
      <w:szCs w:val="21"/>
    </w:rPr>
  </w:style>
  <w:style w:type="paragraph" w:styleId="651">
    <w:name w:val="Title"/>
    <w:basedOn w:val="809"/>
    <w:next w:val="809"/>
    <w:link w:val="65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52">
    <w:name w:val="Title Char"/>
    <w:basedOn w:val="813"/>
    <w:link w:val="651"/>
    <w:uiPriority w:val="10"/>
    <w:rPr>
      <w:sz w:val="48"/>
      <w:szCs w:val="48"/>
    </w:rPr>
  </w:style>
  <w:style w:type="paragraph" w:styleId="653">
    <w:name w:val="Subtitle"/>
    <w:basedOn w:val="809"/>
    <w:next w:val="809"/>
    <w:link w:val="654"/>
    <w:uiPriority w:val="11"/>
    <w:qFormat/>
    <w:pPr>
      <w:spacing w:before="200" w:after="200"/>
    </w:pPr>
    <w:rPr>
      <w:sz w:val="24"/>
      <w:szCs w:val="24"/>
    </w:rPr>
  </w:style>
  <w:style w:type="character" w:styleId="654">
    <w:name w:val="Subtitle Char"/>
    <w:basedOn w:val="813"/>
    <w:link w:val="653"/>
    <w:uiPriority w:val="11"/>
    <w:rPr>
      <w:sz w:val="24"/>
      <w:szCs w:val="24"/>
    </w:rPr>
  </w:style>
  <w:style w:type="paragraph" w:styleId="655">
    <w:name w:val="Quote"/>
    <w:basedOn w:val="809"/>
    <w:next w:val="809"/>
    <w:link w:val="656"/>
    <w:uiPriority w:val="29"/>
    <w:qFormat/>
    <w:pPr>
      <w:ind w:left="720" w:right="720"/>
    </w:pPr>
    <w:rPr>
      <w:i/>
    </w:rPr>
  </w:style>
  <w:style w:type="character" w:styleId="656">
    <w:name w:val="Quote Char"/>
    <w:link w:val="655"/>
    <w:uiPriority w:val="29"/>
    <w:rPr>
      <w:i/>
    </w:rPr>
  </w:style>
  <w:style w:type="paragraph" w:styleId="657">
    <w:name w:val="Intense Quote"/>
    <w:basedOn w:val="809"/>
    <w:next w:val="809"/>
    <w:link w:val="65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58">
    <w:name w:val="Intense Quote Char"/>
    <w:link w:val="657"/>
    <w:uiPriority w:val="30"/>
    <w:rPr>
      <w:i/>
    </w:rPr>
  </w:style>
  <w:style w:type="paragraph" w:styleId="659">
    <w:name w:val="Header"/>
    <w:basedOn w:val="809"/>
    <w:link w:val="66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0">
    <w:name w:val="Header Char"/>
    <w:basedOn w:val="813"/>
    <w:link w:val="659"/>
    <w:uiPriority w:val="99"/>
  </w:style>
  <w:style w:type="paragraph" w:styleId="661">
    <w:name w:val="Footer"/>
    <w:basedOn w:val="809"/>
    <w:link w:val="66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2">
    <w:name w:val="Footer Char"/>
    <w:basedOn w:val="813"/>
    <w:link w:val="661"/>
    <w:uiPriority w:val="99"/>
  </w:style>
  <w:style w:type="paragraph" w:styleId="663">
    <w:name w:val="Caption"/>
    <w:basedOn w:val="809"/>
    <w:next w:val="80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64">
    <w:name w:val="Caption Char"/>
    <w:basedOn w:val="663"/>
    <w:link w:val="661"/>
    <w:uiPriority w:val="99"/>
  </w:style>
  <w:style w:type="table" w:styleId="665">
    <w:name w:val="Table Grid"/>
    <w:basedOn w:val="81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6">
    <w:name w:val="Table Grid Light"/>
    <w:basedOn w:val="81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7">
    <w:name w:val="Plain Table 1"/>
    <w:basedOn w:val="81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68">
    <w:name w:val="Plain Table 2"/>
    <w:basedOn w:val="81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69">
    <w:name w:val="Plain Table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0">
    <w:name w:val="Plain Table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1">
    <w:name w:val="Plain Table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2">
    <w:name w:val="Grid Table 1 Light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3">
    <w:name w:val="Grid Table 1 Light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4">
    <w:name w:val="Grid Table 1 Light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5">
    <w:name w:val="Grid Table 1 Light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Grid Table 1 Light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Grid Table 1 Light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0">
    <w:name w:val="Grid Table 2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1">
    <w:name w:val="Grid Table 2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2">
    <w:name w:val="Grid Table 2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Grid Table 2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4">
    <w:name w:val="Grid Table 2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2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3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3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3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3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3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3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4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4">
    <w:name w:val="Grid Table 4 - Accent 1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95">
    <w:name w:val="Grid Table 4 - Accent 2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96">
    <w:name w:val="Grid Table 4 - Accent 3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697">
    <w:name w:val="Grid Table 4 - Accent 4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698">
    <w:name w:val="Grid Table 4 - Accent 5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699">
    <w:name w:val="Grid Table 4 - Accent 6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0">
    <w:name w:val="Grid Table 5 Dark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1">
    <w:name w:val="Grid Table 5 Dark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02">
    <w:name w:val="Grid Table 5 Dark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03">
    <w:name w:val="Grid Table 5 Dark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04">
    <w:name w:val="Grid Table 5 Dark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05">
    <w:name w:val="Grid Table 5 Dark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06">
    <w:name w:val="Grid Table 5 Dark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07">
    <w:name w:val="Grid Table 6 Colorful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08">
    <w:name w:val="Grid Table 6 Colorful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09">
    <w:name w:val="Grid Table 6 Colorful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0">
    <w:name w:val="Grid Table 6 Colorful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1">
    <w:name w:val="Grid Table 6 Colorful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2">
    <w:name w:val="Grid Table 6 Colorful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3">
    <w:name w:val="Grid Table 6 Colorful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4">
    <w:name w:val="Grid Table 7 Colorful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7 Colorful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7 Colorful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7 Colorful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7 Colorful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7 Colorful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7 Colorful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List Table 1 Light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List Table 1 Light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List Table 1 Light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List Table 1 Light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List Table 1 Light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1 Light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1 Light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29">
    <w:name w:val="List Table 2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0">
    <w:name w:val="List Table 2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1">
    <w:name w:val="List Table 2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2">
    <w:name w:val="List Table 2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33">
    <w:name w:val="List Table 2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34">
    <w:name w:val="List Table 2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35">
    <w:name w:val="List Table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List Table 3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List Table 3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List Table 3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3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List Table 3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4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4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4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4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5 Dark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0">
    <w:name w:val="List Table 5 Dark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1">
    <w:name w:val="List Table 5 Dark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2">
    <w:name w:val="List Table 5 Dark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3">
    <w:name w:val="List Table 5 Dark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4">
    <w:name w:val="List Table 5 Dark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6 Colorful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57">
    <w:name w:val="List Table 6 Colorful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58">
    <w:name w:val="List Table 6 Colorful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59">
    <w:name w:val="List Table 6 Colorful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0">
    <w:name w:val="List Table 6 Colorful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1">
    <w:name w:val="List Table 6 Colorful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2">
    <w:name w:val="List Table 6 Colorful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63">
    <w:name w:val="List Table 7 Colorful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4">
    <w:name w:val="List Table 7 Colorful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65">
    <w:name w:val="List Table 7 Colorful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66">
    <w:name w:val="List Table 7 Colorful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67">
    <w:name w:val="List Table 7 Colorful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68">
    <w:name w:val="List Table 7 Colorful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69">
    <w:name w:val="List Table 7 Colorful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70">
    <w:name w:val="Lined - Accent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1">
    <w:name w:val="Lined - Accent 1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72">
    <w:name w:val="Lined - Accent 2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73">
    <w:name w:val="Lined - Accent 3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74">
    <w:name w:val="Lined - Accent 4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75">
    <w:name w:val="Lined - Accent 5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76">
    <w:name w:val="Lined - Accent 6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77">
    <w:name w:val="Bordered &amp; Lined - Accent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8">
    <w:name w:val="Bordered &amp; Lined - Accent 1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79">
    <w:name w:val="Bordered &amp; Lined - Accent 2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80">
    <w:name w:val="Bordered &amp; Lined - Accent 3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81">
    <w:name w:val="Bordered &amp; Lined - Accent 4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82">
    <w:name w:val="Bordered &amp; Lined - Accent 5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83">
    <w:name w:val="Bordered &amp; Lined - Accent 6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4">
    <w:name w:val="Bordered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85">
    <w:name w:val="Bordered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86">
    <w:name w:val="Bordered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87">
    <w:name w:val="Bordered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88">
    <w:name w:val="Bordered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89">
    <w:name w:val="Bordered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0">
    <w:name w:val="Bordered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791">
    <w:name w:val="Hyperlink"/>
    <w:uiPriority w:val="99"/>
    <w:unhideWhenUsed/>
    <w:rPr>
      <w:color w:val="0000FF" w:themeColor="hyperlink"/>
      <w:u w:val="single"/>
    </w:rPr>
  </w:style>
  <w:style w:type="paragraph" w:styleId="792">
    <w:name w:val="footnote text"/>
    <w:basedOn w:val="809"/>
    <w:link w:val="793"/>
    <w:uiPriority w:val="99"/>
    <w:semiHidden/>
    <w:unhideWhenUsed/>
    <w:pPr>
      <w:spacing w:after="40" w:line="240" w:lineRule="auto"/>
    </w:pPr>
    <w:rPr>
      <w:sz w:val="18"/>
    </w:rPr>
  </w:style>
  <w:style w:type="character" w:styleId="793">
    <w:name w:val="Footnote Text Char"/>
    <w:link w:val="792"/>
    <w:uiPriority w:val="99"/>
    <w:rPr>
      <w:sz w:val="18"/>
    </w:rPr>
  </w:style>
  <w:style w:type="character" w:styleId="794">
    <w:name w:val="footnote reference"/>
    <w:basedOn w:val="813"/>
    <w:uiPriority w:val="99"/>
    <w:unhideWhenUsed/>
    <w:rPr>
      <w:vertAlign w:val="superscript"/>
    </w:rPr>
  </w:style>
  <w:style w:type="paragraph" w:styleId="795">
    <w:name w:val="endnote text"/>
    <w:basedOn w:val="809"/>
    <w:link w:val="796"/>
    <w:uiPriority w:val="99"/>
    <w:semiHidden/>
    <w:unhideWhenUsed/>
    <w:pPr>
      <w:spacing w:after="0" w:line="240" w:lineRule="auto"/>
    </w:pPr>
    <w:rPr>
      <w:sz w:val="20"/>
    </w:rPr>
  </w:style>
  <w:style w:type="character" w:styleId="796">
    <w:name w:val="Endnote Text Char"/>
    <w:link w:val="795"/>
    <w:uiPriority w:val="99"/>
    <w:rPr>
      <w:sz w:val="20"/>
    </w:rPr>
  </w:style>
  <w:style w:type="character" w:styleId="797">
    <w:name w:val="endnote reference"/>
    <w:basedOn w:val="813"/>
    <w:uiPriority w:val="99"/>
    <w:semiHidden/>
    <w:unhideWhenUsed/>
    <w:rPr>
      <w:vertAlign w:val="superscript"/>
    </w:rPr>
  </w:style>
  <w:style w:type="paragraph" w:styleId="798">
    <w:name w:val="toc 1"/>
    <w:basedOn w:val="809"/>
    <w:next w:val="809"/>
    <w:uiPriority w:val="39"/>
    <w:unhideWhenUsed/>
    <w:pPr>
      <w:ind w:left="0" w:right="0" w:firstLine="0"/>
      <w:spacing w:after="57"/>
    </w:pPr>
  </w:style>
  <w:style w:type="paragraph" w:styleId="799">
    <w:name w:val="toc 2"/>
    <w:basedOn w:val="809"/>
    <w:next w:val="809"/>
    <w:uiPriority w:val="39"/>
    <w:unhideWhenUsed/>
    <w:pPr>
      <w:ind w:left="283" w:right="0" w:firstLine="0"/>
      <w:spacing w:after="57"/>
    </w:pPr>
  </w:style>
  <w:style w:type="paragraph" w:styleId="800">
    <w:name w:val="toc 3"/>
    <w:basedOn w:val="809"/>
    <w:next w:val="809"/>
    <w:uiPriority w:val="39"/>
    <w:unhideWhenUsed/>
    <w:pPr>
      <w:ind w:left="567" w:right="0" w:firstLine="0"/>
      <w:spacing w:after="57"/>
    </w:pPr>
  </w:style>
  <w:style w:type="paragraph" w:styleId="801">
    <w:name w:val="toc 4"/>
    <w:basedOn w:val="809"/>
    <w:next w:val="809"/>
    <w:uiPriority w:val="39"/>
    <w:unhideWhenUsed/>
    <w:pPr>
      <w:ind w:left="850" w:right="0" w:firstLine="0"/>
      <w:spacing w:after="57"/>
    </w:pPr>
  </w:style>
  <w:style w:type="paragraph" w:styleId="802">
    <w:name w:val="toc 5"/>
    <w:basedOn w:val="809"/>
    <w:next w:val="809"/>
    <w:uiPriority w:val="39"/>
    <w:unhideWhenUsed/>
    <w:pPr>
      <w:ind w:left="1134" w:right="0" w:firstLine="0"/>
      <w:spacing w:after="57"/>
    </w:pPr>
  </w:style>
  <w:style w:type="paragraph" w:styleId="803">
    <w:name w:val="toc 6"/>
    <w:basedOn w:val="809"/>
    <w:next w:val="809"/>
    <w:uiPriority w:val="39"/>
    <w:unhideWhenUsed/>
    <w:pPr>
      <w:ind w:left="1417" w:right="0" w:firstLine="0"/>
      <w:spacing w:after="57"/>
    </w:pPr>
  </w:style>
  <w:style w:type="paragraph" w:styleId="804">
    <w:name w:val="toc 7"/>
    <w:basedOn w:val="809"/>
    <w:next w:val="809"/>
    <w:uiPriority w:val="39"/>
    <w:unhideWhenUsed/>
    <w:pPr>
      <w:ind w:left="1701" w:right="0" w:firstLine="0"/>
      <w:spacing w:after="57"/>
    </w:pPr>
  </w:style>
  <w:style w:type="paragraph" w:styleId="805">
    <w:name w:val="toc 8"/>
    <w:basedOn w:val="809"/>
    <w:next w:val="809"/>
    <w:uiPriority w:val="39"/>
    <w:unhideWhenUsed/>
    <w:pPr>
      <w:ind w:left="1984" w:right="0" w:firstLine="0"/>
      <w:spacing w:after="57"/>
    </w:pPr>
  </w:style>
  <w:style w:type="paragraph" w:styleId="806">
    <w:name w:val="toc 9"/>
    <w:basedOn w:val="809"/>
    <w:next w:val="809"/>
    <w:uiPriority w:val="39"/>
    <w:unhideWhenUsed/>
    <w:pPr>
      <w:ind w:left="2268" w:right="0" w:firstLine="0"/>
      <w:spacing w:after="57"/>
    </w:pPr>
  </w:style>
  <w:style w:type="paragraph" w:styleId="807">
    <w:name w:val="TOC Heading"/>
    <w:uiPriority w:val="39"/>
    <w:unhideWhenUsed/>
  </w:style>
  <w:style w:type="paragraph" w:styleId="808">
    <w:name w:val="table of figures"/>
    <w:basedOn w:val="809"/>
    <w:next w:val="809"/>
    <w:uiPriority w:val="99"/>
    <w:unhideWhenUsed/>
    <w:pPr>
      <w:spacing w:after="0" w:afterAutospacing="0"/>
    </w:pPr>
  </w:style>
  <w:style w:type="paragraph" w:styleId="809" w:default="1">
    <w:name w:val="Normal"/>
    <w:qFormat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</w:rPr>
  </w:style>
  <w:style w:type="paragraph" w:styleId="810">
    <w:name w:val="Heading 1"/>
    <w:basedOn w:val="809"/>
    <w:next w:val="809"/>
    <w:link w:val="816"/>
    <w:uiPriority w:val="9"/>
    <w:qFormat/>
    <w:pPr>
      <w:keepNext/>
      <w:spacing w:before="240" w:after="60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811">
    <w:name w:val="Heading 2"/>
    <w:basedOn w:val="809"/>
    <w:next w:val="809"/>
    <w:link w:val="817"/>
    <w:uiPriority w:val="9"/>
    <w:unhideWhenUsed/>
    <w:qFormat/>
    <w:pPr>
      <w:keepNext/>
      <w:spacing w:before="240" w:after="60"/>
      <w:outlineLvl w:val="1"/>
    </w:pPr>
    <w:rPr>
      <w:rFonts w:asciiTheme="majorHAnsi" w:hAnsiTheme="majorHAnsi" w:eastAsiaTheme="majorEastAsia" w:cstheme="majorBidi"/>
      <w:b/>
      <w:bCs/>
      <w:i/>
      <w:iCs/>
      <w:sz w:val="28"/>
      <w:szCs w:val="28"/>
    </w:rPr>
  </w:style>
  <w:style w:type="paragraph" w:styleId="812">
    <w:name w:val="Heading 3"/>
    <w:basedOn w:val="809"/>
    <w:next w:val="809"/>
    <w:link w:val="818"/>
    <w:uiPriority w:val="9"/>
    <w:unhideWhenUsed/>
    <w:qFormat/>
    <w:pPr>
      <w:keepNext/>
      <w:spacing w:before="240" w:after="60"/>
      <w:outlineLvl w:val="2"/>
    </w:pPr>
    <w:rPr>
      <w:rFonts w:asciiTheme="majorHAnsi" w:hAnsiTheme="majorHAnsi" w:eastAsiaTheme="majorEastAsia" w:cstheme="majorBidi"/>
      <w:b/>
      <w:bCs/>
      <w:sz w:val="26"/>
      <w:szCs w:val="26"/>
    </w:rPr>
  </w:style>
  <w:style w:type="character" w:styleId="813" w:default="1">
    <w:name w:val="Default Paragraph Font"/>
    <w:uiPriority w:val="1"/>
    <w:semiHidden/>
    <w:unhideWhenUsed/>
  </w:style>
  <w:style w:type="table" w:styleId="81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5" w:default="1">
    <w:name w:val="No List"/>
    <w:uiPriority w:val="99"/>
    <w:semiHidden/>
    <w:unhideWhenUsed/>
  </w:style>
  <w:style w:type="character" w:styleId="816" w:customStyle="1">
    <w:name w:val="Заголовок 1 Знак"/>
    <w:basedOn w:val="813"/>
    <w:link w:val="810"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styleId="817" w:customStyle="1">
    <w:name w:val="Заголовок 2 Знак"/>
    <w:basedOn w:val="813"/>
    <w:link w:val="811"/>
    <w:uiPriority w:val="9"/>
    <w:rPr>
      <w:rFonts w:asciiTheme="majorHAnsi" w:hAnsiTheme="majorHAnsi" w:eastAsiaTheme="majorEastAsia" w:cstheme="majorBidi"/>
      <w:b/>
      <w:bCs/>
      <w:i/>
      <w:iCs/>
      <w:sz w:val="28"/>
      <w:szCs w:val="28"/>
    </w:rPr>
  </w:style>
  <w:style w:type="character" w:styleId="818" w:customStyle="1">
    <w:name w:val="Заголовок 3 Знак"/>
    <w:basedOn w:val="813"/>
    <w:link w:val="812"/>
    <w:uiPriority w:val="9"/>
    <w:rPr>
      <w:rFonts w:asciiTheme="majorHAnsi" w:hAnsiTheme="majorHAnsi" w:eastAsiaTheme="majorEastAsia" w:cstheme="majorBidi"/>
      <w:b/>
      <w:bCs/>
      <w:sz w:val="26"/>
      <w:szCs w:val="26"/>
    </w:rPr>
  </w:style>
  <w:style w:type="paragraph" w:styleId="819">
    <w:name w:val="No Spacing"/>
    <w:uiPriority w:val="1"/>
    <w:qFormat/>
    <w:rPr>
      <w:sz w:val="22"/>
      <w:szCs w:val="22"/>
    </w:rPr>
  </w:style>
  <w:style w:type="paragraph" w:styleId="820">
    <w:name w:val="List Paragraph"/>
    <w:basedOn w:val="809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ONLYOFFICE/7.0.0.127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revision>11</cp:revision>
  <dcterms:created xsi:type="dcterms:W3CDTF">2019-10-18T08:19:00Z</dcterms:created>
  <dcterms:modified xsi:type="dcterms:W3CDTF">2024-12-18T13:47:57Z</dcterms:modified>
</cp:coreProperties>
</file>