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целевого использования иного межбюджетного трансферта, предоставленного из бюджета Краснодарского края,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источником финансового обеспечения которого являются бюджетные ассигнования резервного фонда администрации Краснодарского края, бюджету муниципального образования Староминский район на финансовое обеспечение мероприятий по предоставлению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Староминский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2 августа 2024 года»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результатам проведенной проверки установлено: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0"/>
        <w:numPr>
          <w:ilvl w:val="0"/>
          <w:numId w:val="2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Нарушений Порядка 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чрезвычайных ситуаций муниципального характера, произошедших на территории муниципального образования Староминский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», утвержденного постановлением администрации муниципального образования Староминский район от 02.08.2024 года №751, в ходе проверки не выявлено.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0"/>
        <w:numPr>
          <w:ilvl w:val="0"/>
          <w:numId w:val="2"/>
        </w:num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Нецелевого использования бюджетных средств не выявлено.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окончании  проведенной проверки информированы глава муниципального образования Староминский район и председатель Совета Староминского муниципального образования Староминский муниципальный район Краснодарского края.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2026-02-11T10:58:20Z</dcterms:modified>
</cp:coreProperties>
</file>