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</w:t>
      </w:r>
      <w:r>
        <w:rPr>
          <w:rFonts w:ascii="Times New Roman" w:hAnsi="Times New Roman" w:cs="Times New Roman"/>
          <w:b/>
          <w:sz w:val="24"/>
          <w:szCs w:val="24"/>
        </w:rPr>
        <w:t xml:space="preserve">тароминский район провела проверку «Проверка расходования субвенций на осуществление государственных полномочий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муниципального образования Староминский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проверки установлено следующее:</w:t>
      </w:r>
      <w:r/>
    </w:p>
    <w:p>
      <w:pPr>
        <w:pStyle w:val="820"/>
        <w:numPr>
          <w:ilvl w:val="0"/>
          <w:numId w:val="1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Нарушение должностным лицом заказчика срока и порядка оплаты труда (работ, услуг) при осуществлении закупок для обеспечения государственных и муниципальных нужд в 2022 году.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ончании  проведенной проверки информированы глава МО Староминский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и председатель Совета муниципального образования Староминский район.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</cp:revision>
  <dcterms:created xsi:type="dcterms:W3CDTF">2019-10-18T08:19:00Z</dcterms:created>
  <dcterms:modified xsi:type="dcterms:W3CDTF">2024-12-17T13:24:28Z</dcterms:modified>
</cp:coreProperties>
</file>