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</w:t>
      </w:r>
      <w:r>
        <w:rPr>
          <w:rFonts w:ascii="Times New Roman" w:hAnsi="Times New Roman" w:cs="Times New Roman"/>
          <w:b/>
          <w:sz w:val="24"/>
          <w:szCs w:val="24"/>
        </w:rPr>
        <w:t xml:space="preserve">тароминский район провела проверку «Проверка порядка предоставления и использования иных межбюджетных трансфертов, предоставляемых из бюджета муниципального образования Староминский район Рассветовскому сельскому поселению Староминского района за 2023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результатам проведенной проверки установлено следующее: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Нарушение ст.162 Бюджетного кодекса Российской Федерации, приказа Минфина России от 29 ноября 2017г. №209н;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Нарушение п.3 постановления администрации Рассветовского сельского поселения Староминского района от 06.07.2022 года №68 «Об утверждении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 порядка изменения существенных условий контракта для включения в решения, предусмотренные частью 65.1 статьи 112 Федерального закона №44-ФЗ «О контрактной системе в сфере закупок товаров, работ, услуг для обеспечения государственных и муниципальных нужд»;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В нарушение требований Национального стандарта РФ ГОСТ Р 52301-2013 «Оборудование и покрытия детских игровых площадок. Безопасность при эксплуатации. Об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щие требования» (утв. Приказом Федерального агентства по техническому регулированию и метрологии от 24 июня 2013 г. №182-ст) на оборудование игровых комплектов предоставленные паспорта не содержат даты выпуска, даты упаковки, подписи и печати изготовителя;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 Нарушение ст.708, 766 Гражданского кодекса РФ и другие нарушения.</w:t>
      </w:r>
      <w:r/>
    </w:p>
    <w:p>
      <w:pPr>
        <w:ind w:left="708" w:firstLine="0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ок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ончании  проведенной проверки информированы глава МО Староминский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председатель Совета муниципального образования Староминский район, гл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ава Рассветовского сельского поселения и председатель Совета Рассветовского сельского поселения Староминского района.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2025-01-06T11:43:25Z</dcterms:modified>
</cp:coreProperties>
</file>