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850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-3809</wp:posOffset>
                </wp:positionV>
                <wp:extent cx="599440" cy="75184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944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9.8pt;mso-position-horizontal:absolute;mso-position-vertical-relative:text;margin-top:-0.3pt;mso-position-vertical:absolute;width:47.2pt;height:59.2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867"/>
        <w:jc w:val="right"/>
        <w:shd w:val="clear" w:color="auto" w:fill="auto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867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7"/>
        <w:jc w:val="center"/>
        <w:shd w:val="clear" w:color="auto" w:fill="auto"/>
        <w:rPr>
          <w:b/>
          <w:bCs/>
          <w:color w:val="auto"/>
          <w:sz w:val="32"/>
          <w:szCs w:val="28"/>
        </w:rPr>
      </w:pPr>
      <w:r>
        <w:rPr>
          <w:b/>
          <w:bCs/>
          <w:color w:val="auto"/>
          <w:sz w:val="32"/>
          <w:szCs w:val="28"/>
        </w:rPr>
        <w:t xml:space="preserve">РЕШЕНИЕ</w:t>
      </w:r>
      <w:r/>
    </w:p>
    <w:p>
      <w:pPr>
        <w:pStyle w:val="867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7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СОВЕТА МУНИЦИПАЛЬНОГО ОБРАЗОВАНИЯ </w:t>
      </w:r>
      <w:r/>
    </w:p>
    <w:p>
      <w:pPr>
        <w:pStyle w:val="867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СТАРОМИНСКИЙ РАЙОН</w:t>
      </w:r>
      <w:r/>
    </w:p>
    <w:p>
      <w:pPr>
        <w:pStyle w:val="867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7"/>
        <w:shd w:val="clear" w:color="auto" w:fill="auto"/>
        <w:rPr>
          <w:color w:val="auto"/>
          <w:szCs w:val="28"/>
        </w:rPr>
      </w:pPr>
      <w:r>
        <w:rPr>
          <w:color w:val="auto"/>
          <w:szCs w:val="28"/>
        </w:rPr>
        <w:t xml:space="preserve">от _26.05.2022 года__                                                                          №_20/9_</w:t>
      </w:r>
      <w:bookmarkStart w:id="0" w:name="_GoBack"/>
      <w:r/>
      <w:bookmarkEnd w:id="0"/>
      <w:r>
        <w:rPr>
          <w:color w:val="auto"/>
          <w:szCs w:val="28"/>
        </w:rPr>
        <w:t xml:space="preserve">__  </w:t>
      </w:r>
      <w:r/>
    </w:p>
    <w:p>
      <w:pPr>
        <w:pStyle w:val="856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ст-ца</w:t>
      </w:r>
      <w:r>
        <w:rPr>
          <w:rFonts w:ascii="Times New Roman" w:hAnsi="Times New Roman" w:cs="Times New Roman"/>
          <w:b w:val="0"/>
          <w:bCs w:val="0"/>
          <w:i w:val="0"/>
        </w:rPr>
        <w:t xml:space="preserve"> Староминская</w:t>
      </w:r>
      <w:r/>
    </w:p>
    <w:p>
      <w:pPr>
        <w:pStyle w:val="867"/>
        <w:shd w:val="clear" w:color="auto" w:fill="auto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867"/>
        <w:shd w:val="clear" w:color="auto" w:fill="auto"/>
        <w:rPr>
          <w:szCs w:val="28"/>
        </w:rPr>
      </w:pPr>
      <w:r>
        <w:rPr>
          <w:szCs w:val="28"/>
        </w:rPr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5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принятии к сведению отчета о деятельности контрольно-счетной палаты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Староминский</w:t>
      </w:r>
      <w:r>
        <w:rPr>
          <w:rFonts w:ascii="Times New Roman" w:hAnsi="Times New Roman"/>
          <w:b/>
          <w:sz w:val="28"/>
          <w:szCs w:val="28"/>
        </w:rPr>
        <w:t xml:space="preserve"> район за 2021 год</w:t>
      </w:r>
      <w:r/>
    </w:p>
    <w:p>
      <w:pPr>
        <w:pStyle w:val="871"/>
        <w:rPr>
          <w:color w:val="FF0000"/>
          <w:szCs w:val="28"/>
          <w:highlight w:val="yellow"/>
        </w:rPr>
      </w:pPr>
      <w:r>
        <w:rPr>
          <w:color w:val="FF0000"/>
          <w:szCs w:val="28"/>
          <w:highlight w:val="yellow"/>
        </w:rPr>
      </w:r>
      <w:r/>
    </w:p>
    <w:p>
      <w:pPr>
        <w:pStyle w:val="871"/>
        <w:rPr>
          <w:color w:val="FF0000"/>
          <w:szCs w:val="28"/>
          <w:highlight w:val="yellow"/>
        </w:rPr>
      </w:pPr>
      <w:r>
        <w:rPr>
          <w:color w:val="FF0000"/>
          <w:szCs w:val="28"/>
          <w:highlight w:val="yellow"/>
        </w:rPr>
      </w:r>
      <w:r/>
    </w:p>
    <w:p>
      <w:pPr>
        <w:pStyle w:val="871"/>
        <w:rPr>
          <w:szCs w:val="28"/>
          <w:highlight w:val="yellow"/>
        </w:rPr>
      </w:pPr>
      <w:r>
        <w:rPr>
          <w:szCs w:val="28"/>
          <w:highlight w:val="yellow"/>
        </w:rPr>
      </w:r>
      <w:r/>
    </w:p>
    <w:p>
      <w:pPr>
        <w:pStyle w:val="871"/>
        <w:ind w:firstLine="284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 xml:space="preserve">В соответствии со статьей 19 Федерального закона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муниципального образования </w:t>
      </w:r>
      <w:r>
        <w:rPr>
          <w:szCs w:val="28"/>
        </w:rPr>
        <w:t xml:space="preserve">Староминский</w:t>
      </w:r>
      <w:r>
        <w:rPr>
          <w:szCs w:val="28"/>
        </w:rPr>
        <w:t xml:space="preserve"> район от 23.11.2011 №19/1 «О контрольно-счетной палате муниципального образования </w:t>
      </w:r>
      <w:r>
        <w:rPr>
          <w:szCs w:val="28"/>
        </w:rPr>
        <w:t xml:space="preserve">Староминский</w:t>
      </w:r>
      <w:r>
        <w:rPr>
          <w:szCs w:val="28"/>
        </w:rPr>
        <w:t xml:space="preserve"> район», на основании статьи 25 Устава муниципального образования </w:t>
      </w:r>
      <w:r>
        <w:rPr>
          <w:szCs w:val="28"/>
        </w:rPr>
        <w:t xml:space="preserve">Староминский</w:t>
      </w:r>
      <w:r>
        <w:rPr>
          <w:szCs w:val="28"/>
        </w:rPr>
        <w:t xml:space="preserve"> район, Совет муниципального образования </w:t>
      </w:r>
      <w:r>
        <w:rPr>
          <w:szCs w:val="28"/>
        </w:rPr>
        <w:t xml:space="preserve">Староминский</w:t>
      </w:r>
      <w:r>
        <w:rPr>
          <w:szCs w:val="28"/>
        </w:rPr>
        <w:t xml:space="preserve"> район, РЕШИЛ:</w:t>
      </w:r>
      <w:r/>
    </w:p>
    <w:p>
      <w:pPr>
        <w:pStyle w:val="871"/>
        <w:numPr>
          <w:ilvl w:val="0"/>
          <w:numId w:val="1"/>
        </w:numPr>
        <w:ind w:left="0" w:firstLine="709"/>
        <w:tabs>
          <w:tab w:val="num" w:pos="0" w:leader="none"/>
          <w:tab w:val="clear" w:pos="825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Принять к сведению отчет о деятельности контрольно-счетной палаты муниципального образования </w:t>
      </w:r>
      <w:r>
        <w:rPr>
          <w:szCs w:val="28"/>
        </w:rPr>
        <w:t xml:space="preserve">Староминский</w:t>
      </w:r>
      <w:r>
        <w:rPr>
          <w:szCs w:val="28"/>
        </w:rPr>
        <w:t xml:space="preserve"> район за 2021 год согласно приложению к настоящему решению.</w:t>
      </w:r>
      <w:r/>
    </w:p>
    <w:p>
      <w:pPr>
        <w:pStyle w:val="869"/>
        <w:ind w:firstLine="709"/>
        <w:rPr>
          <w:szCs w:val="28"/>
        </w:rPr>
      </w:pPr>
      <w:r>
        <w:rPr>
          <w:szCs w:val="28"/>
        </w:rPr>
        <w:t xml:space="preserve">2. Настоящее решение вступает в силу со дня его подписания.</w:t>
      </w:r>
      <w:r/>
    </w:p>
    <w:p>
      <w:pPr>
        <w:pStyle w:val="869"/>
        <w:ind w:firstLine="360"/>
        <w:tabs>
          <w:tab w:val="num" w:pos="1541" w:leader="none"/>
        </w:tabs>
        <w:rPr>
          <w:b/>
          <w:bCs/>
          <w:szCs w:val="28"/>
        </w:rPr>
      </w:pPr>
      <w:r>
        <w:rPr>
          <w:b/>
          <w:bCs/>
          <w:szCs w:val="28"/>
        </w:rPr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муниципального</w:t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Староминский</w:t>
      </w:r>
      <w:r>
        <w:rPr>
          <w:rFonts w:ascii="Times New Roman" w:hAnsi="Times New Roman"/>
          <w:sz w:val="28"/>
          <w:szCs w:val="28"/>
        </w:rPr>
        <w:t xml:space="preserve"> район                                             А.Н.Игнатенко</w:t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</w:r>
      <w:r/>
    </w:p>
    <w:p>
      <w:pPr>
        <w:pStyle w:val="863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</w:r>
      <w:r/>
    </w:p>
    <w:p>
      <w:pPr>
        <w:jc w:val="center"/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</w:r>
      <w:r/>
    </w:p>
    <w:tbl>
      <w:tblPr>
        <w:tblStyle w:val="71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решению Совета муниципального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Староминский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_26.05.2022 года_№__20/9___</w:t>
            </w:r>
            <w:r/>
          </w:p>
        </w:tc>
      </w:tr>
    </w:tbl>
    <w:p>
      <w:pPr>
        <w:jc w:val="center"/>
        <w:spacing w:after="24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</w:r>
      <w:r/>
    </w:p>
    <w:p>
      <w:pPr>
        <w:jc w:val="center"/>
        <w:spacing w:after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деятельности контрольно-счетной палаты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Староминский</w:t>
      </w:r>
      <w:r>
        <w:rPr>
          <w:rFonts w:ascii="Times New Roman" w:hAnsi="Times New Roman"/>
          <w:b/>
          <w:sz w:val="28"/>
          <w:szCs w:val="28"/>
        </w:rPr>
        <w:t xml:space="preserve"> район за 2021 год</w:t>
      </w:r>
      <w:r/>
    </w:p>
    <w:p>
      <w:pPr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Настоящий годовой отчет о деятельности контрольно-счетной палаты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за 2021 год  подготовлен в соответствии с требованиями статьи 19 Федерального закона от 7 февраля 2011 год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а 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  и раздела 20 Положения о контрольно-счетной палате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район, утвержденного решением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Совета муниципального 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от 23.11.2011 №19/1 «О контрольно-счетной палате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район» (далее – Положение о контрольно-счетной палате) и  включает в себя общие сведения о результатах проведенных контрольных и экспертно-аналитических мероприятий, вытекающих из них выводах, рекомендациях и предложениях.</w:t>
      </w:r>
      <w:r/>
    </w:p>
    <w:p>
      <w:pPr>
        <w:jc w:val="center"/>
        <w:spacing w:after="24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1. Деятельность контрольно-счетной палаты (общая часть)</w:t>
      </w:r>
      <w:r/>
    </w:p>
    <w:p>
      <w:pPr>
        <w:contextualSpacing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Контрольно-счетная палата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(далее - Контрольно-счетная палата) была создана Советом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1 февраля 2012 года к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ак самостоятельный орган местного самоуправления, являющийся органом внешнего муниципального финансового контроля, наделенный статусом юридического лица, является участником бюджетного процесса, обладающая бюджетными полномочиями, функционирует десять лет.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Деятельность Контрольно-счетной палаты в отчетном году осуществлялась в единой системе предотвращения бюджетно-финансовых нарушений, контроля за исполнением доходной и расходной частей бюджета района, внедрения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принципов аудита эффективности использования финансовых ресурсов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и муниципальной собственности.</w:t>
      </w:r>
      <w:r/>
    </w:p>
    <w:p>
      <w:pPr>
        <w:contextualSpacing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ab/>
        <w:t xml:space="preserve">Контрольно-счетная палата, как и в предыдущие годы в отчетном периоде приняла на исполнение также полномочия контрольно-счетных органов по осуществлению муниципального финансового контроля всех пяти  сельских поселений района.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ab/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В 2021 году вся деятельность Контрольно-счетной палаты осуществлялась в строгом соответствии с Уставом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и решением Совета муниципального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«О контрольно-счетной палате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район», в соответствии с  планом работы Контрольно-счетной палаты на 2021 год, утвержденного председателем Контрольно-счетной палаты. При формировании годового плана работы учтены поручения Совета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район, поручения Советов всех пяти поселений, входящих в состав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район, а также предложения главы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и глав поселений.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Деятельность Контрольно-счетной палаты планировалась по четырем направлениям: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-мероприятия по контролю формирования и исполнения бюджета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и сельских поселений, входящих в состав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район;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-контрольные и экспертно-аналитические мероприятия;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-информационные мероприятия;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-организационно-технические мероприятия.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Планирование деятельности Контрольно-счетной палаты за 2021 год осуществлялось исходя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из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: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-необходимости соблюдения процедур и сроков проведения мероприятий по формированию и исполнению местного  бюджета, установленных бюджетным законодательством;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-полномочий, предусмотренных Бюджетным кодексом Российской Федерации, Федеральным законом №6-ФЗ и Положением о контрольно-счетной палате;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-наличия трудовых ресурсов, а именно численности Контрольно-счетной палаты.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В 2021 году фактическая численность Контрольно-счетной палаты составила 3 штатные единицы.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Основные задачи Контрольно-счетной палаты в отчетном периоде заключались в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контроле за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исполнением местного бюджета и бюджетов сельских поселен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ий, а также за соблюдением установленного порядка подготовки и рассмотрения проектов местных бюджетов района и поселений, отчета об исполнении местных бюджетов, в повышении эффективности использования средств местных бюджетов и муниципальной собственности.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green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План работы на 2021 год Контрольно-счетной палатой исполнен в полном объеме.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Целью контрольной и экспертно-аналитической деятельности являлась разработка предложений и рекоменд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аций, направленных не только на устранение выявленных нарушений и недостатков, а также на их предотвращение и предупреждение, на выявление системных причин, негативно влияющих на качество управленческих решений принимаемых органами местного самоуправления.</w:t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Основные итоги работы Контрольно-счетной палаты в 2021 году.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целом в отчетном году сотрудниками Контрольно-счетной палаты проведено 62 мероприятия, из них 19 контрольных мероприятий и                 43 экспертно-аналитических мероприятий.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Контрольными мероприятиями </w:t>
      </w:r>
      <w:r>
        <w:rPr>
          <w:rFonts w:ascii="Times New Roman" w:hAnsi="Times New Roman"/>
          <w:sz w:val="28"/>
          <w:szCs w:val="28"/>
          <w:highlight w:val="white"/>
        </w:rPr>
        <w:t xml:space="preserve">охвачены 19 субъекта проверки, из них 18 органов местного самоуправления, 1 муниципальное учреждение.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Объем проверенных средств составляет 1 476 752,8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ублей, в том числе 1 367 854,7 тыс. рублей при внешней проверке отчета об исполнении бюджета и бюджетной (бухгалтерской) отчетности и прочие контрольные мероприятия на сумму 108 898,1 тыс.рублей.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Стоимость проверенного имущества составила 10 186,9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Результаты проведенных в отчетном периоде контрольных и </w:t>
      </w:r>
      <w:r>
        <w:rPr>
          <w:rFonts w:ascii="Times New Roman" w:hAnsi="Times New Roman"/>
          <w:sz w:val="28"/>
          <w:szCs w:val="28"/>
          <w:highlight w:val="white"/>
        </w:rPr>
        <w:t xml:space="preserve">экспертно-аналитических мероприятий свидетельствуют о том, что бюджетные средства, выделяемые на финансирование органов местного самоуправления и учреждений, в основном, использовались в соответствии с требованиями действующего бюджетного законодательства.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Вместе с тем, имеются финансовые нарушения и недостатки.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отчетном периоде Контрольно-счетной палатой выявлено финансовых нарушений и недостатков на сумму 8,4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ублей. Кроме этого неэффективное использование бюджетных средств на сумму 768,8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ублей, нарушений порядка ведения бюджетного (бухгалтерского) учета, со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ставления и предоставления отчетности на сумму 373 682,2 тыс.рублей, в том числе повлиявшие на достоверность отчета на сумму 298 299,0 тыс.рублей. Установлены факты нарушения действующего законодательства в стоимостном выражении на общую сумму 36 973,6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ублей. Стоимость имущества, используемого с нарушением установленного порядка управления и распоряжения имуществом составила 52,1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Структуру выявляемых нарушений можно представить следующим образом: те, которые наносят материальный ущерб интересам местного бюджета (переплаты, неправомерные расходы, недостачи и излишки и т.д</w:t>
      </w:r>
      <w:r>
        <w:rPr>
          <w:rFonts w:ascii="Times New Roman" w:hAnsi="Times New Roman"/>
          <w:sz w:val="28"/>
          <w:szCs w:val="28"/>
          <w:highlight w:val="white"/>
        </w:rPr>
        <w:t xml:space="preserve">.), остальное-это несоблюдение правил, которые влияют на эффективность функционирования бюджетной системы в целом (искажение отчетных данных, нарушения правил ведения бюджетного (бухгалтерского) учета и отчетности, бюджетного законодательства и так далее).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Структура выявляемых нарушений на протяжении нескольких лет меняется в зависимости от тематики проведенных контрольных мероприятий.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 в 2021 году во исполнение послания Президента РФ Федеральному Собранию от 15.01.2020 года и </w:t>
      </w:r>
      <w:r>
        <w:rPr>
          <w:rFonts w:ascii="Times New Roman" w:hAnsi="Times New Roman"/>
          <w:sz w:val="28"/>
          <w:szCs w:val="28"/>
        </w:rPr>
        <w:t xml:space="preserve">обращения заместителя полпреда Президента РФ и ЮФО от 19.10.2020 №А52-4655-34)» проведено контрольное мероприятие «Аудит эффективности расходов на организацию и обеспечение горячего питания школьников, в том числе с ограниченными возможностями здоровья, в </w:t>
      </w:r>
      <w:r>
        <w:rPr>
          <w:rFonts w:ascii="Times New Roman" w:hAnsi="Times New Roman"/>
          <w:sz w:val="28"/>
          <w:szCs w:val="28"/>
        </w:rPr>
        <w:t xml:space="preserve">Староминском</w:t>
      </w:r>
      <w:r>
        <w:rPr>
          <w:rFonts w:ascii="Times New Roman" w:hAnsi="Times New Roman"/>
          <w:sz w:val="28"/>
          <w:szCs w:val="28"/>
        </w:rPr>
        <w:t xml:space="preserve"> районе в 2020 году и истекшем периоде 2021 года».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Результаты всех контрольных мероприятий доведены до сведения руководителей объектов проверки в виде представлений и информационных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писем с указанием предложений и рекомендаций, направленных на устранение выявленных замечаний и нарушений.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Благодаря мерам, принимаемым администрациями муниципальных образований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района и проверяемыми учреждениями, за отчетный период устранено нарушений на сумму 335 711,69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ублей, в том числе: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-устранено финансовых нарушений на сумму 41,61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ублей, средства возвращены в доход бюджета;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-неэффективного использования средств в сумме 38,5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-устранены нарушения порядка ведения бюджетного (бухгалтерского) учета, составления и предоставления отчетности 335 167,38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-стоимость имущества, по которому устранены нарушения установленного порядка управления и распоряжения имуществом46,4тыс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-приняты меры по устранению нарушений действующего законодательства на сумму 417,8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Всего за 2021 год направлено 23 представлений об устранении выявленных нарушений и недостатков, 1 предписание.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Кроме этого по материалам проверки привлечено к дисциплинарной ответственности 20 должностных лиц.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материалам контрольных мероприятий Контрольно-счетной палаты возбуждено 1 административное дело и направлены в суд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района, по которым вынесены постановления о привлечении к административной ответственности должностных лиц проверяемых объектов.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Отчеты по результатам проведенных контрольных мероприятий направлялись главе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район, председателю Совета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 и главам сельских поселений, председателям Советов сельских поселений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района.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Наряду с контрольными</w:t>
      </w:r>
      <w:r>
        <w:rPr>
          <w:rFonts w:ascii="Times New Roman" w:hAnsi="Times New Roman"/>
          <w:sz w:val="28"/>
          <w:szCs w:val="28"/>
          <w:highlight w:val="white"/>
        </w:rPr>
        <w:t xml:space="preserve"> мероприятиями, Контрольно-счетная палата проводила и экспертно-аналитические мероприятия. Проведенными экспертно-аналитическими мероприятиями Контрольно-счетной  палатой в отчетном периоде охвачены представленные администрацией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 и администрациями сельских поселений проекты решений о местном бюджете и утверждении отчетов об исполнении местных бюджетов.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результатам данных мероприятий подготовлены заключения, которые направлены в Советы и главам муниципальных образований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района. Предложения и рекомендации, отраженные в заключениях контрольно-счетной палаты, практически в полном объеме приняты органами местного самоуправления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района.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Контрольно-счетной палатой проведено 43 экспертно-аналитических 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мероприятий</w:t>
      </w:r>
      <w:r>
        <w:rPr>
          <w:rFonts w:ascii="Times New Roman" w:hAnsi="Times New Roman"/>
          <w:sz w:val="28"/>
          <w:szCs w:val="28"/>
          <w:highlight w:val="white"/>
        </w:rPr>
        <w:t xml:space="preserve"> из которых: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-6 по проектам решений о бюджете;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-18 о ходе исполнения бюджета;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-6 по проектам решений об исполнении бюджета;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-13 по финансово-экономической экспертизе проектов муниципальных правовых актов.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Объем средств, охваченных экспертно-аналитическими мероприятиями, составил 9 579 239,2 тыс. рублей, в том числе в отношении сельских поселений 1 740 719,2 тыс. рублей.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итогам проведенных экспертно-аналитических мероприятий выявлено нарушение действующего </w:t>
      </w:r>
      <w:r>
        <w:rPr>
          <w:rFonts w:ascii="Times New Roman" w:hAnsi="Times New Roman"/>
          <w:sz w:val="28"/>
          <w:szCs w:val="28"/>
          <w:highlight w:val="white"/>
        </w:rPr>
        <w:t xml:space="preserve">законодательства</w:t>
      </w:r>
      <w:r>
        <w:rPr>
          <w:rFonts w:ascii="Times New Roman" w:hAnsi="Times New Roman"/>
          <w:sz w:val="28"/>
          <w:szCs w:val="28"/>
          <w:highlight w:val="white"/>
        </w:rPr>
        <w:t xml:space="preserve"> имеющее стоимостное выражение в сумме 139 133,7 тыс. рублей.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pStyle w:val="87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Информационная деятельность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FF0000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Информационная деятельность Контрольно-счетной палаты состоит в информировании органов местного самоуправления и населения муниципального образования о результатах проведенных контрольных и экспертно-аналитических мероприятий.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Положением о Контрольно-счетной палате в Совет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район, Советы сельских поселений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район, а также в администрации района и поселений для ознакомления и принятия мер направлялись отчеты по итогам проведенных Контрольно-счетной палатой мероприятий и информация по экспертно-аналитическим мероприятиям всего в количестве 110 единиц.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Информация о деятельности Контрольно-счетной палаты и проведенных контрольных и экспертно-аналитических мероприятиях, о выявленных при их проведении нарушениях размещена на официальном сайте Контрольно-счетной палаты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kspminsk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FF0000"/>
          <w:sz w:val="28"/>
          <w:szCs w:val="28"/>
          <w:highlight w:val="green"/>
        </w:rPr>
      </w:pPr>
      <w:r>
        <w:rPr>
          <w:rFonts w:ascii="Times New Roman" w:hAnsi="Times New Roman"/>
          <w:color w:val="FF0000"/>
          <w:sz w:val="28"/>
          <w:szCs w:val="28"/>
          <w:highlight w:val="green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3. Организационная деятельность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color w:val="FF0000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Особое значение при организации работы в отчетном периоде придавалось развитию взаимоотношений с Контрольно-счетной палатой Краснодарского края и контрольно-счетными органами муниципальных образований Кр</w:t>
      </w:r>
      <w:r>
        <w:rPr>
          <w:rFonts w:ascii="Times New Roman" w:hAnsi="Times New Roman"/>
          <w:sz w:val="28"/>
          <w:szCs w:val="28"/>
          <w:highlight w:val="white"/>
        </w:rPr>
        <w:t xml:space="preserve">аснодарского края. С ноября2013 года Контрольно-счетная палата находится в составе Совета контрольно-счетных органов Краснодарского края, который оказывает консультативную, методическую помощь в проведении контрольных и экспертно-аналитических мероприятий.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Сотрудники Контрольно-счетной палаты постоянно работают над повышением своего профессионального уровня, как самостоятельно, так и на проводимых контрольно-счетной палатой Краснодарского края </w:t>
      </w:r>
      <w:r>
        <w:rPr>
          <w:rFonts w:ascii="Times New Roman" w:hAnsi="Times New Roman"/>
          <w:sz w:val="28"/>
          <w:szCs w:val="28"/>
          <w:highlight w:val="white"/>
        </w:rPr>
        <w:t xml:space="preserve">семинарах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ак</w:t>
      </w:r>
      <w:r>
        <w:rPr>
          <w:rFonts w:ascii="Times New Roman" w:hAnsi="Times New Roman"/>
          <w:sz w:val="28"/>
          <w:szCs w:val="28"/>
        </w:rPr>
        <w:t xml:space="preserve"> в декабре 2021 года в целях повышения профессионального уровня  прошли обучение по программе «Осуществление внешнего государственного (муниципального) финансового контроля» два специалиста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палаты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Староминский</w:t>
      </w:r>
      <w:r>
        <w:rPr>
          <w:rFonts w:ascii="Times New Roman" w:hAnsi="Times New Roman"/>
          <w:sz w:val="28"/>
          <w:szCs w:val="28"/>
        </w:rPr>
        <w:t xml:space="preserve"> район.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  <w:highlight w:val="green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4. Основные направления деятельности Контрольно-счетной палаты в 2022 году</w:t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FF0000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Основные направления деятельности Контрольно-счетной палаты на 2022 год отражены в плане работы, которым предусмотрено осуществление комплекса</w:t>
      </w:r>
      <w:r>
        <w:rPr>
          <w:rFonts w:ascii="Times New Roman" w:hAnsi="Times New Roman"/>
          <w:sz w:val="28"/>
          <w:szCs w:val="28"/>
          <w:highlight w:val="white"/>
        </w:rPr>
        <w:t xml:space="preserve"> контрольных и экспертно-аналитических мероприятий, обеспечивающего реализацию задач и функций, возложенных на Контрольно-счетную палату. В 2022 году предусмотрено проведение 20 контрольных и 34 экспертно-аналитических мероприятий, а также ряд мероприятий </w:t>
      </w:r>
      <w:r>
        <w:rPr>
          <w:rFonts w:ascii="Times New Roman" w:hAnsi="Times New Roman"/>
          <w:sz w:val="28"/>
          <w:szCs w:val="28"/>
          <w:highlight w:val="white"/>
        </w:rPr>
        <w:t xml:space="preserve">в информационной, правовой, организационной деятельности. Постоянным плановым мероприятием является экспертиза проектов нормативных правовых актов, регулирующих бюджетные правоотношения. Также будет продолжена деятельность по финансово-экономической экспер</w:t>
      </w:r>
      <w:r>
        <w:rPr>
          <w:rFonts w:ascii="Times New Roman" w:hAnsi="Times New Roman"/>
          <w:sz w:val="28"/>
          <w:szCs w:val="28"/>
          <w:highlight w:val="white"/>
        </w:rPr>
        <w:t xml:space="preserve">тизе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 Особое внимание будет уделено повышению качества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контроля за</w:t>
      </w:r>
      <w:r>
        <w:rPr>
          <w:rFonts w:ascii="Times New Roman" w:hAnsi="Times New Roman"/>
          <w:sz w:val="28"/>
          <w:szCs w:val="28"/>
          <w:highlight w:val="white"/>
        </w:rPr>
        <w:t xml:space="preserve"> исполнением местного бюджета, экспертизы проектов местного бюджета. Деятельность палаты будет ориентирована на повышение информационной открытости и прозрачности путем освещения всех направлений деятельности Контрольно-счетной палаты в сети Интернет.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2022 году Контрольно-счетной палатой будет продолжена работа по совершенствованию внешнего муниципального финансового контроля, повышению его качества и эффективности.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color w:val="FF0000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color w:val="FF0000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Председатель контрольно-счетной палаты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муниципального образования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                            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Е.Г.Дейнега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701" w:header="708" w:footer="708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75977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</w:pPr>
    <w:r/>
    <w:r/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525"/>
        <w:tabs>
          <w:tab w:val="num" w:pos="82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1545" w:hanging="525"/>
        <w:tabs>
          <w:tab w:val="num" w:pos="1545" w:leader="none"/>
        </w:tabs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00" w:hanging="180"/>
        <w:tabs>
          <w:tab w:val="num" w:pos="21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20" w:hanging="360"/>
        <w:tabs>
          <w:tab w:val="num" w:pos="28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40" w:hanging="360"/>
        <w:tabs>
          <w:tab w:val="num" w:pos="35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60" w:hanging="180"/>
        <w:tabs>
          <w:tab w:val="num" w:pos="42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80" w:hanging="360"/>
        <w:tabs>
          <w:tab w:val="num" w:pos="49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00" w:hanging="360"/>
        <w:tabs>
          <w:tab w:val="num" w:pos="57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20" w:hanging="180"/>
        <w:tabs>
          <w:tab w:val="num" w:pos="642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Title Char"/>
    <w:basedOn w:val="682"/>
    <w:link w:val="699"/>
    <w:uiPriority w:val="10"/>
    <w:rPr>
      <w:sz w:val="48"/>
      <w:szCs w:val="48"/>
    </w:rPr>
  </w:style>
  <w:style w:type="character" w:styleId="673">
    <w:name w:val="Subtitle Char"/>
    <w:basedOn w:val="682"/>
    <w:link w:val="701"/>
    <w:uiPriority w:val="11"/>
    <w:rPr>
      <w:sz w:val="24"/>
      <w:szCs w:val="24"/>
    </w:rPr>
  </w:style>
  <w:style w:type="character" w:styleId="674">
    <w:name w:val="Quote Char"/>
    <w:link w:val="703"/>
    <w:uiPriority w:val="29"/>
    <w:rPr>
      <w:i/>
    </w:rPr>
  </w:style>
  <w:style w:type="character" w:styleId="675">
    <w:name w:val="Intense Quote Char"/>
    <w:link w:val="705"/>
    <w:uiPriority w:val="30"/>
    <w:rPr>
      <w:i/>
    </w:rPr>
  </w:style>
  <w:style w:type="character" w:styleId="676">
    <w:name w:val="Footnote Text Char"/>
    <w:link w:val="838"/>
    <w:uiPriority w:val="99"/>
    <w:rPr>
      <w:sz w:val="18"/>
    </w:rPr>
  </w:style>
  <w:style w:type="character" w:styleId="677">
    <w:name w:val="Endnote Text Char"/>
    <w:link w:val="841"/>
    <w:uiPriority w:val="99"/>
    <w:rPr>
      <w:sz w:val="20"/>
    </w:rPr>
  </w:style>
  <w:style w:type="paragraph" w:styleId="678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79">
    <w:name w:val="Heading 1"/>
    <w:basedOn w:val="678"/>
    <w:next w:val="678"/>
    <w:qFormat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680">
    <w:name w:val="Heading 3"/>
    <w:basedOn w:val="678"/>
    <w:next w:val="678"/>
    <w:qFormat/>
    <w:pPr>
      <w:keepNext/>
      <w:spacing w:after="0" w:line="240" w:lineRule="auto"/>
      <w:outlineLvl w:val="2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681">
    <w:name w:val="Heading 4"/>
    <w:basedOn w:val="678"/>
    <w:next w:val="678"/>
    <w:qFormat/>
    <w:pPr>
      <w:jc w:val="center"/>
      <w:keepNext/>
      <w:spacing w:after="0" w:line="240" w:lineRule="auto"/>
      <w:outlineLvl w:val="3"/>
    </w:pPr>
    <w:rPr>
      <w:rFonts w:ascii="Times New Roman" w:hAnsi="Times New Roman"/>
      <w:sz w:val="28"/>
      <w:szCs w:val="24"/>
      <w:lang w:eastAsia="ru-RU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Heading 1 Char"/>
    <w:basedOn w:val="682"/>
    <w:link w:val="855"/>
    <w:uiPriority w:val="9"/>
    <w:rPr>
      <w:rFonts w:ascii="Arial" w:hAnsi="Arial" w:cs="Arial" w:eastAsia="Arial"/>
      <w:sz w:val="40"/>
      <w:szCs w:val="40"/>
    </w:rPr>
  </w:style>
  <w:style w:type="character" w:styleId="686" w:customStyle="1">
    <w:name w:val="Heading 2 Char"/>
    <w:basedOn w:val="682"/>
    <w:link w:val="856"/>
    <w:uiPriority w:val="9"/>
    <w:rPr>
      <w:rFonts w:ascii="Arial" w:hAnsi="Arial" w:cs="Arial" w:eastAsia="Arial"/>
      <w:sz w:val="34"/>
    </w:rPr>
  </w:style>
  <w:style w:type="character" w:styleId="687" w:customStyle="1">
    <w:name w:val="Heading 3 Char"/>
    <w:basedOn w:val="682"/>
    <w:link w:val="857"/>
    <w:uiPriority w:val="9"/>
    <w:rPr>
      <w:rFonts w:ascii="Arial" w:hAnsi="Arial" w:cs="Arial" w:eastAsia="Arial"/>
      <w:sz w:val="30"/>
      <w:szCs w:val="30"/>
    </w:rPr>
  </w:style>
  <w:style w:type="character" w:styleId="688" w:customStyle="1">
    <w:name w:val="Heading 4 Char"/>
    <w:basedOn w:val="682"/>
    <w:link w:val="858"/>
    <w:uiPriority w:val="9"/>
    <w:rPr>
      <w:rFonts w:ascii="Arial" w:hAnsi="Arial" w:cs="Arial" w:eastAsia="Arial"/>
      <w:b/>
      <w:bCs/>
      <w:sz w:val="26"/>
      <w:szCs w:val="26"/>
    </w:rPr>
  </w:style>
  <w:style w:type="paragraph" w:styleId="689" w:customStyle="1">
    <w:name w:val="Heading 5"/>
    <w:basedOn w:val="678"/>
    <w:next w:val="678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90" w:customStyle="1">
    <w:name w:val="Heading 5 Char"/>
    <w:basedOn w:val="682"/>
    <w:link w:val="689"/>
    <w:uiPriority w:val="9"/>
    <w:rPr>
      <w:rFonts w:ascii="Arial" w:hAnsi="Arial" w:cs="Arial" w:eastAsia="Arial"/>
      <w:b/>
      <w:bCs/>
      <w:sz w:val="24"/>
      <w:szCs w:val="24"/>
    </w:rPr>
  </w:style>
  <w:style w:type="paragraph" w:styleId="691" w:customStyle="1">
    <w:name w:val="Heading 6"/>
    <w:basedOn w:val="678"/>
    <w:next w:val="678"/>
    <w:link w:val="692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character" w:styleId="692" w:customStyle="1">
    <w:name w:val="Heading 6 Char"/>
    <w:basedOn w:val="682"/>
    <w:link w:val="691"/>
    <w:uiPriority w:val="9"/>
    <w:rPr>
      <w:rFonts w:ascii="Arial" w:hAnsi="Arial" w:cs="Arial" w:eastAsia="Arial"/>
      <w:b/>
      <w:bCs/>
      <w:sz w:val="22"/>
      <w:szCs w:val="22"/>
    </w:rPr>
  </w:style>
  <w:style w:type="paragraph" w:styleId="693" w:customStyle="1">
    <w:name w:val="Heading 7"/>
    <w:basedOn w:val="678"/>
    <w:next w:val="678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character" w:styleId="694" w:customStyle="1">
    <w:name w:val="Heading 7 Char"/>
    <w:basedOn w:val="682"/>
    <w:link w:val="69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5" w:customStyle="1">
    <w:name w:val="Heading 8"/>
    <w:basedOn w:val="678"/>
    <w:next w:val="678"/>
    <w:link w:val="696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character" w:styleId="696" w:customStyle="1">
    <w:name w:val="Heading 8 Char"/>
    <w:basedOn w:val="682"/>
    <w:link w:val="695"/>
    <w:uiPriority w:val="9"/>
    <w:rPr>
      <w:rFonts w:ascii="Arial" w:hAnsi="Arial" w:cs="Arial" w:eastAsia="Arial"/>
      <w:i/>
      <w:iCs/>
      <w:sz w:val="22"/>
      <w:szCs w:val="22"/>
    </w:rPr>
  </w:style>
  <w:style w:type="paragraph" w:styleId="697" w:customStyle="1">
    <w:name w:val="Heading 9"/>
    <w:basedOn w:val="678"/>
    <w:next w:val="678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8" w:customStyle="1">
    <w:name w:val="Heading 9 Char"/>
    <w:basedOn w:val="682"/>
    <w:link w:val="697"/>
    <w:uiPriority w:val="9"/>
    <w:rPr>
      <w:rFonts w:ascii="Arial" w:hAnsi="Arial" w:cs="Arial" w:eastAsia="Arial"/>
      <w:i/>
      <w:iCs/>
      <w:sz w:val="21"/>
      <w:szCs w:val="21"/>
    </w:rPr>
  </w:style>
  <w:style w:type="paragraph" w:styleId="699">
    <w:name w:val="Title"/>
    <w:basedOn w:val="678"/>
    <w:next w:val="678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Название Знак"/>
    <w:basedOn w:val="682"/>
    <w:link w:val="699"/>
    <w:uiPriority w:val="10"/>
    <w:rPr>
      <w:sz w:val="48"/>
      <w:szCs w:val="48"/>
    </w:rPr>
  </w:style>
  <w:style w:type="paragraph" w:styleId="701">
    <w:name w:val="Subtitle"/>
    <w:basedOn w:val="678"/>
    <w:next w:val="678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basedOn w:val="682"/>
    <w:link w:val="701"/>
    <w:uiPriority w:val="11"/>
    <w:rPr>
      <w:sz w:val="24"/>
      <w:szCs w:val="24"/>
    </w:rPr>
  </w:style>
  <w:style w:type="paragraph" w:styleId="703">
    <w:name w:val="Quote"/>
    <w:basedOn w:val="678"/>
    <w:next w:val="678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8"/>
    <w:next w:val="678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character" w:styleId="707" w:customStyle="1">
    <w:name w:val="Header Char"/>
    <w:basedOn w:val="682"/>
    <w:link w:val="863"/>
    <w:uiPriority w:val="99"/>
  </w:style>
  <w:style w:type="character" w:styleId="708" w:customStyle="1">
    <w:name w:val="Footer Char"/>
    <w:basedOn w:val="682"/>
    <w:link w:val="865"/>
    <w:uiPriority w:val="99"/>
  </w:style>
  <w:style w:type="paragraph" w:styleId="709" w:customStyle="1">
    <w:name w:val="Caption"/>
    <w:basedOn w:val="678"/>
    <w:next w:val="67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0" w:customStyle="1">
    <w:name w:val="Caption Char"/>
    <w:link w:val="865"/>
    <w:uiPriority w:val="99"/>
  </w:style>
  <w:style w:type="table" w:styleId="711">
    <w:name w:val="Table Grid"/>
    <w:basedOn w:val="68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Table Grid Light"/>
    <w:basedOn w:val="68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Plain Table 1"/>
    <w:basedOn w:val="68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2"/>
    <w:basedOn w:val="68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3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Plain Table 4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Plain Table 5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1 Light"/>
    <w:basedOn w:val="68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basedOn w:val="68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"/>
    <w:basedOn w:val="68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4"/>
    <w:basedOn w:val="68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1" w:customStyle="1">
    <w:name w:val="Grid Table 4 - Accent 2"/>
    <w:basedOn w:val="68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2" w:customStyle="1">
    <w:name w:val="Grid Table 4 - Accent 3"/>
    <w:basedOn w:val="68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3" w:customStyle="1">
    <w:name w:val="Grid Table 4 - Accent 4"/>
    <w:basedOn w:val="68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4" w:customStyle="1">
    <w:name w:val="Grid Table 4 - Accent 5"/>
    <w:basedOn w:val="68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5" w:customStyle="1">
    <w:name w:val="Grid Table 4 - Accent 6"/>
    <w:basedOn w:val="68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6" w:customStyle="1">
    <w:name w:val="Grid Table 5 Dark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6 Colorful"/>
    <w:basedOn w:val="68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basedOn w:val="68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basedOn w:val="68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basedOn w:val="68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basedOn w:val="68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basedOn w:val="68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7 Colorful"/>
    <w:basedOn w:val="68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1" w:customStyle="1">
    <w:name w:val="Grid Table 7 Colorful - Accent 1"/>
    <w:basedOn w:val="68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2" w:customStyle="1">
    <w:name w:val="Grid Table 7 Colorful - Accent 2"/>
    <w:basedOn w:val="68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 w:customStyle="1">
    <w:name w:val="Grid Table 7 Colorful - Accent 3"/>
    <w:basedOn w:val="68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4" w:customStyle="1">
    <w:name w:val="Grid Table 7 Colorful - Accent 4"/>
    <w:basedOn w:val="68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5"/>
    <w:basedOn w:val="68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6"/>
    <w:basedOn w:val="68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List Table 1 Light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2"/>
    <w:basedOn w:val="68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1" w:customStyle="1">
    <w:name w:val="List Table 3"/>
    <w:basedOn w:val="68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"/>
    <w:basedOn w:val="68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5 Dark"/>
    <w:basedOn w:val="68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6 Colorful"/>
    <w:basedOn w:val="68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4" w:customStyle="1">
    <w:name w:val="List Table 6 Colorful - Accent 2"/>
    <w:basedOn w:val="68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List Table 6 Colorful - Accent 3"/>
    <w:basedOn w:val="68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6" w:customStyle="1">
    <w:name w:val="List Table 6 Colorful - Accent 4"/>
    <w:basedOn w:val="68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List Table 6 Colorful - Accent 5"/>
    <w:basedOn w:val="68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8" w:customStyle="1">
    <w:name w:val="List Table 6 Colorful - Accent 6"/>
    <w:basedOn w:val="68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9" w:customStyle="1">
    <w:name w:val="List Table 7 Colorful"/>
    <w:basedOn w:val="68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List Table 7 Colorful - Accent 1"/>
    <w:basedOn w:val="68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List Table 7 Colorful - Accent 2"/>
    <w:basedOn w:val="68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st Table 7 Colorful - Accent 3"/>
    <w:basedOn w:val="68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List Table 7 Colorful - Accent 4"/>
    <w:basedOn w:val="68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5"/>
    <w:basedOn w:val="68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6"/>
    <w:basedOn w:val="68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ned - Accent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Lined - Accent 2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Lined - Accent 3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Lined - Accent 4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Lined - Accent 5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Lined - Accent 6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 &amp; Lined - Accent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Bordered &amp; Lined - Accent 2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Bordered &amp; Lined - Accent 3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Bordered &amp; Lined - Accent 4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Bordered &amp; Lined - Accent 5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Bordered &amp; Lined - Accent 6"/>
    <w:basedOn w:val="68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"/>
    <w:basedOn w:val="68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2" w:customStyle="1">
    <w:name w:val="Bordered - Accent 2"/>
    <w:basedOn w:val="68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3" w:customStyle="1">
    <w:name w:val="Bordered - Accent 3"/>
    <w:basedOn w:val="68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4" w:customStyle="1">
    <w:name w:val="Bordered - Accent 4"/>
    <w:basedOn w:val="68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5" w:customStyle="1">
    <w:name w:val="Bordered - Accent 5"/>
    <w:basedOn w:val="68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6" w:customStyle="1">
    <w:name w:val="Bordered - Accent 6"/>
    <w:basedOn w:val="68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678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82"/>
    <w:uiPriority w:val="99"/>
    <w:unhideWhenUsed/>
    <w:rPr>
      <w:vertAlign w:val="superscript"/>
    </w:rPr>
  </w:style>
  <w:style w:type="paragraph" w:styleId="841">
    <w:name w:val="endnote text"/>
    <w:basedOn w:val="678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82"/>
    <w:uiPriority w:val="99"/>
    <w:semiHidden/>
    <w:unhideWhenUsed/>
    <w:rPr>
      <w:vertAlign w:val="superscript"/>
    </w:rPr>
  </w:style>
  <w:style w:type="paragraph" w:styleId="844">
    <w:name w:val="toc 1"/>
    <w:basedOn w:val="678"/>
    <w:next w:val="678"/>
    <w:uiPriority w:val="39"/>
    <w:unhideWhenUsed/>
    <w:pPr>
      <w:spacing w:after="57"/>
    </w:pPr>
  </w:style>
  <w:style w:type="paragraph" w:styleId="845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46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47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48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49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50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51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52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8"/>
    <w:next w:val="678"/>
    <w:uiPriority w:val="99"/>
    <w:unhideWhenUsed/>
    <w:pPr>
      <w:spacing w:after="0"/>
    </w:pPr>
  </w:style>
  <w:style w:type="paragraph" w:styleId="855" w:customStyle="1">
    <w:name w:val="Heading 1"/>
    <w:basedOn w:val="678"/>
    <w:next w:val="678"/>
    <w:link w:val="859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56" w:customStyle="1">
    <w:name w:val="Heading 2"/>
    <w:basedOn w:val="678"/>
    <w:next w:val="678"/>
    <w:link w:val="860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57" w:customStyle="1">
    <w:name w:val="Heading 3"/>
    <w:basedOn w:val="678"/>
    <w:next w:val="678"/>
    <w:link w:val="861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58" w:customStyle="1">
    <w:name w:val="Heading 4"/>
    <w:basedOn w:val="678"/>
    <w:next w:val="678"/>
    <w:link w:val="875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59" w:customStyle="1">
    <w:name w:val="Заголовок 1 Знак"/>
    <w:basedOn w:val="682"/>
    <w:link w:val="855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60" w:customStyle="1">
    <w:name w:val="Заголовок 2 Знак"/>
    <w:basedOn w:val="682"/>
    <w:link w:val="856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61" w:customStyle="1">
    <w:name w:val="Заголовок 3 Знак"/>
    <w:basedOn w:val="682"/>
    <w:link w:val="857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62">
    <w:name w:val="No Spacing"/>
    <w:uiPriority w:val="1"/>
    <w:qFormat/>
    <w:rPr>
      <w:sz w:val="22"/>
      <w:szCs w:val="22"/>
    </w:rPr>
  </w:style>
  <w:style w:type="paragraph" w:styleId="863" w:customStyle="1">
    <w:name w:val="Header"/>
    <w:basedOn w:val="678"/>
    <w:link w:val="864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2"/>
    <w:link w:val="863"/>
    <w:uiPriority w:val="99"/>
    <w:rPr>
      <w:sz w:val="22"/>
      <w:szCs w:val="22"/>
    </w:rPr>
  </w:style>
  <w:style w:type="paragraph" w:styleId="865" w:customStyle="1">
    <w:name w:val="Footer"/>
    <w:basedOn w:val="678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2"/>
    <w:link w:val="865"/>
    <w:uiPriority w:val="99"/>
    <w:rPr>
      <w:sz w:val="22"/>
      <w:szCs w:val="22"/>
    </w:rPr>
  </w:style>
  <w:style w:type="paragraph" w:styleId="867">
    <w:name w:val="Body Text"/>
    <w:basedOn w:val="678"/>
    <w:link w:val="868"/>
    <w:semiHidden/>
    <w:pPr>
      <w:spacing w:after="0" w:line="240" w:lineRule="auto"/>
      <w:shd w:val="clear" w:color="auto" w:fill="ffffff"/>
    </w:pPr>
    <w:rPr>
      <w:rFonts w:ascii="Times New Roman" w:hAnsi="Times New Roman"/>
      <w:color w:val="000000"/>
      <w:sz w:val="28"/>
      <w:szCs w:val="14"/>
      <w:lang w:eastAsia="ru-RU"/>
    </w:rPr>
  </w:style>
  <w:style w:type="character" w:styleId="868" w:customStyle="1">
    <w:name w:val="Основной текст Знак"/>
    <w:basedOn w:val="682"/>
    <w:link w:val="867"/>
    <w:semiHidden/>
    <w:rPr>
      <w:rFonts w:ascii="Times New Roman" w:hAnsi="Times New Roman"/>
      <w:color w:val="000000"/>
      <w:sz w:val="28"/>
      <w:szCs w:val="14"/>
      <w:shd w:val="clear" w:color="auto" w:fill="ffffff"/>
      <w:lang w:eastAsia="ru-RU"/>
    </w:rPr>
  </w:style>
  <w:style w:type="paragraph" w:styleId="869">
    <w:name w:val="Body Text Indent"/>
    <w:basedOn w:val="678"/>
    <w:link w:val="870"/>
    <w:semiHidden/>
    <w:pPr>
      <w:ind w:firstLine="708"/>
      <w:jc w:val="both"/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870" w:customStyle="1">
    <w:name w:val="Основной текст с отступом Знак"/>
    <w:basedOn w:val="682"/>
    <w:link w:val="869"/>
    <w:semiHidden/>
    <w:rPr>
      <w:rFonts w:ascii="Times New Roman" w:hAnsi="Times New Roman"/>
      <w:sz w:val="28"/>
      <w:szCs w:val="24"/>
      <w:lang w:eastAsia="ru-RU"/>
    </w:rPr>
  </w:style>
  <w:style w:type="paragraph" w:styleId="871">
    <w:name w:val="Body Text 3"/>
    <w:basedOn w:val="678"/>
    <w:link w:val="872"/>
    <w:semiHidden/>
    <w:pPr>
      <w:jc w:val="both"/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872" w:customStyle="1">
    <w:name w:val="Основной текст 3 Знак"/>
    <w:basedOn w:val="682"/>
    <w:link w:val="871"/>
    <w:semiHidden/>
    <w:rPr>
      <w:rFonts w:ascii="Times New Roman" w:hAnsi="Times New Roman"/>
      <w:sz w:val="28"/>
      <w:szCs w:val="24"/>
      <w:lang w:eastAsia="ru-RU"/>
    </w:rPr>
  </w:style>
  <w:style w:type="paragraph" w:styleId="873">
    <w:name w:val="Balloon Text"/>
    <w:basedOn w:val="678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682"/>
    <w:link w:val="873"/>
    <w:uiPriority w:val="99"/>
    <w:semiHidden/>
    <w:rPr>
      <w:rFonts w:ascii="Tahoma" w:hAnsi="Tahoma" w:cs="Tahoma"/>
      <w:sz w:val="16"/>
      <w:szCs w:val="16"/>
    </w:rPr>
  </w:style>
  <w:style w:type="character" w:styleId="875" w:customStyle="1">
    <w:name w:val="Заголовок 4 Знак"/>
    <w:basedOn w:val="682"/>
    <w:link w:val="858"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</w:rPr>
  </w:style>
  <w:style w:type="paragraph" w:styleId="876">
    <w:name w:val="List Paragraph"/>
    <w:basedOn w:val="678"/>
    <w:uiPriority w:val="34"/>
    <w:qFormat/>
    <w:pPr>
      <w:contextualSpacing/>
      <w:ind w:left="720"/>
    </w:pPr>
  </w:style>
  <w:style w:type="paragraph" w:styleId="877">
    <w:name w:val="Header"/>
    <w:basedOn w:val="678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1"/>
    <w:basedOn w:val="682"/>
    <w:link w:val="877"/>
    <w:uiPriority w:val="99"/>
    <w:semiHidden/>
    <w:rPr>
      <w:sz w:val="22"/>
      <w:szCs w:val="22"/>
    </w:rPr>
  </w:style>
  <w:style w:type="paragraph" w:styleId="879">
    <w:name w:val="Footer"/>
    <w:basedOn w:val="678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1"/>
    <w:basedOn w:val="682"/>
    <w:link w:val="879"/>
    <w:uiPriority w:val="99"/>
    <w:semiHidden/>
    <w:rPr>
      <w:sz w:val="22"/>
      <w:szCs w:val="22"/>
    </w:rPr>
  </w:style>
  <w:style w:type="character" w:styleId="881" w:customStyle="1">
    <w:name w:val="Заголовок 1 Знак1"/>
    <w:basedOn w:val="682"/>
    <w:link w:val="67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82" w:customStyle="1">
    <w:name w:val="Заголовок 3 Знак1"/>
    <w:basedOn w:val="682"/>
    <w:link w:val="680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styleId="883" w:customStyle="1">
    <w:name w:val="Заголовок 4 Знак1"/>
    <w:basedOn w:val="682"/>
    <w:link w:val="681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A11D-DD68-48B3-B85B-33ABEB7A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19</cp:revision>
  <dcterms:created xsi:type="dcterms:W3CDTF">2021-02-25T13:04:00Z</dcterms:created>
  <dcterms:modified xsi:type="dcterms:W3CDTF">2022-06-17T12:57:45Z</dcterms:modified>
</cp:coreProperties>
</file>