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850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-3809</wp:posOffset>
                </wp:positionV>
                <wp:extent cx="599440" cy="75184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944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9.8pt;mso-position-horizontal:absolute;mso-position-vertical-relative:text;margin-top:-0.3pt;mso-position-vertical:absolute;width:47.2pt;height:59.2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869"/>
        <w:jc w:val="right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 xml:space="preserve">РЕШЕНИЕ</w:t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СОВЕТА МУНИЦИПАЛЬНОГО ОБРАЗОВАНИЯ </w:t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СТАРОМИНСКИЙ РАЙОН</w:t>
      </w:r>
      <w:r/>
    </w:p>
    <w:p>
      <w:pPr>
        <w:pStyle w:val="869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9"/>
        <w:shd w:val="clear" w:color="auto" w:fill="auto"/>
        <w:rPr>
          <w:color w:val="auto"/>
          <w:szCs w:val="28"/>
        </w:rPr>
      </w:pPr>
      <w:r>
        <w:rPr>
          <w:color w:val="auto"/>
          <w:szCs w:val="28"/>
        </w:rPr>
        <w:t xml:space="preserve">от _19.04.2023__                                                                          №__29/1___</w:t>
      </w:r>
      <w:bookmarkStart w:id="0" w:name="_GoBack"/>
      <w:r/>
      <w:bookmarkEnd w:id="0"/>
      <w:r>
        <w:rPr>
          <w:color w:val="auto"/>
          <w:szCs w:val="28"/>
        </w:rPr>
        <w:t xml:space="preserve">__  </w:t>
      </w:r>
      <w:r/>
    </w:p>
    <w:p>
      <w:pPr>
        <w:pStyle w:val="858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ст-ца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Староминская</w:t>
      </w:r>
      <w:r/>
    </w:p>
    <w:p>
      <w:pPr>
        <w:pStyle w:val="869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9"/>
        <w:shd w:val="clear" w:color="auto" w:fill="auto"/>
        <w:rPr>
          <w:szCs w:val="28"/>
        </w:rPr>
      </w:pPr>
      <w:r>
        <w:rPr>
          <w:szCs w:val="28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5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 принятии к сведению отчета о деятельности 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 за 2022 год</w:t>
      </w:r>
      <w:r>
        <w:rPr>
          <w:highlight w:val="white"/>
        </w:rPr>
      </w:r>
      <w:r/>
    </w:p>
    <w:p>
      <w:pPr>
        <w:pStyle w:val="873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</w:r>
      <w:r>
        <w:rPr>
          <w:highlight w:val="cyan"/>
        </w:rPr>
      </w:r>
      <w:r/>
    </w:p>
    <w:p>
      <w:pPr>
        <w:pStyle w:val="873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</w:r>
      <w:r>
        <w:rPr>
          <w:highlight w:val="cyan"/>
        </w:rPr>
      </w:r>
      <w:r/>
    </w:p>
    <w:p>
      <w:pPr>
        <w:pStyle w:val="873"/>
        <w:rPr>
          <w:szCs w:val="28"/>
          <w:highlight w:val="cyan"/>
        </w:rPr>
      </w:pPr>
      <w:r>
        <w:rPr>
          <w:szCs w:val="28"/>
          <w:highlight w:val="cyan"/>
        </w:rPr>
      </w:r>
      <w:r>
        <w:rPr>
          <w:highlight w:val="cyan"/>
        </w:rPr>
      </w:r>
      <w:r/>
    </w:p>
    <w:p>
      <w:pPr>
        <w:pStyle w:val="873"/>
        <w:ind w:firstLine="284"/>
        <w:rPr>
          <w:szCs w:val="28"/>
          <w:highlight w:val="white"/>
        </w:rPr>
      </w:pPr>
      <w:r>
        <w:rPr>
          <w:szCs w:val="28"/>
          <w:highlight w:val="white"/>
        </w:rPr>
        <w:t xml:space="preserve">     </w:t>
      </w:r>
      <w:r>
        <w:rPr>
          <w:szCs w:val="28"/>
          <w:highlight w:val="white"/>
        </w:rPr>
        <w:t xml:space="preserve">В соответствии со статьей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 от 23.11.2011 №19/1 «О контрольно-счетной палате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район», на основании статьи 25 Устава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район, Совет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район, РЕШИЛ:</w:t>
      </w:r>
      <w:r>
        <w:rPr>
          <w:highlight w:val="white"/>
        </w:rPr>
      </w:r>
      <w:r/>
    </w:p>
    <w:p>
      <w:pPr>
        <w:pStyle w:val="873"/>
        <w:numPr>
          <w:ilvl w:val="0"/>
          <w:numId w:val="1"/>
        </w:numPr>
        <w:ind w:left="0" w:firstLine="709"/>
        <w:tabs>
          <w:tab w:val="num" w:pos="0" w:leader="none"/>
          <w:tab w:val="clear" w:pos="825" w:leader="none"/>
          <w:tab w:val="left" w:pos="993" w:leader="none"/>
        </w:tabs>
        <w:rPr>
          <w:szCs w:val="28"/>
          <w:highlight w:val="white"/>
        </w:rPr>
      </w:pPr>
      <w:r>
        <w:rPr>
          <w:szCs w:val="28"/>
          <w:highlight w:val="white"/>
        </w:rPr>
        <w:t xml:space="preserve">Принять к сведению отчет о деятельности контрольно-счетной палаты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 за 2022 год согласно приложению к настоящему решению.</w:t>
      </w:r>
      <w:r>
        <w:rPr>
          <w:highlight w:val="white"/>
        </w:rPr>
      </w:r>
      <w:r/>
    </w:p>
    <w:p>
      <w:pPr>
        <w:pStyle w:val="871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 xml:space="preserve">2. Решение вступает в силу со дня его подписания.</w:t>
      </w:r>
      <w:r>
        <w:rPr>
          <w:highlight w:val="white"/>
        </w:rPr>
      </w:r>
      <w:r/>
    </w:p>
    <w:p>
      <w:pPr>
        <w:pStyle w:val="871"/>
        <w:ind w:firstLine="360"/>
        <w:tabs>
          <w:tab w:val="num" w:pos="1541" w:leader="none"/>
        </w:tabs>
        <w:rPr>
          <w:b/>
          <w:bCs/>
          <w:szCs w:val="28"/>
          <w:highlight w:val="white"/>
        </w:rPr>
      </w:pPr>
      <w:r>
        <w:rPr>
          <w:b/>
          <w:bCs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Председатель Совета муниципального</w:t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                                            А.Н.Игнатенко</w:t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spacing w:line="240" w:lineRule="auto"/>
        <w:rPr>
          <w:rFonts w:ascii="Times New Roman" w:hAnsi="Times New Roman"/>
          <w:b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tbl>
      <w:tblPr>
        <w:tblStyle w:val="7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ПРИЛОЖЕНИЕ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 решению Совета муниципального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Староминский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район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от 19.04.2023 года_№_29/1__</w:t>
            </w:r>
            <w:r>
              <w:rPr>
                <w:highlight w:val="white"/>
              </w:rPr>
            </w:r>
            <w:r/>
          </w:p>
        </w:tc>
      </w:tr>
    </w:tbl>
    <w:p>
      <w:pPr>
        <w:jc w:val="center"/>
        <w:spacing w:after="240" w:line="240" w:lineRule="auto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after="24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Отчет о деятельности 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 за 2022 год</w:t>
      </w:r>
      <w:r>
        <w:rPr>
          <w:highlight w:val="white"/>
        </w:rPr>
      </w:r>
      <w:r/>
    </w:p>
    <w:p>
      <w:pPr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Настоящий годовой отчет о деятельности контрольно-счетной палаты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за 2022 год  подготовлен в соответствии с требованиями статьи 19 Федерального закона от 7 февраля 2011 год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а 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  и статьи 20 Положения о контрольно-счетной палате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район, утвержденного решением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Совета муниципального 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от 23.11.2011 №19/1 «О контрольно-счетной палате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район» (далее – Положение о контрольно-счетной палате) и  включает в себя общие сведения о результатах проведенных контрольных и экспертно-аналитических мероприятий, вытекающих из них выводах, рекомендациях и предложениях.</w:t>
      </w:r>
      <w:r>
        <w:rPr>
          <w:highlight w:val="white"/>
        </w:rPr>
      </w:r>
      <w:r/>
    </w:p>
    <w:p>
      <w:pPr>
        <w:jc w:val="center"/>
        <w:spacing w:after="24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1. Деятельность контрольно-счетной палаты (общая часть)</w:t>
      </w:r>
      <w:r>
        <w:rPr>
          <w:highlight w:val="white"/>
        </w:rPr>
      </w:r>
      <w:r/>
    </w:p>
    <w:p>
      <w:pPr>
        <w:contextualSpacing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Контрольно-счетная палата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(далее - Контрольно-счетная палата) была создана Советом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1 февраля 2012 года к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ак са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мостоятельный орган местного самоуправления, являющийся органом внешнего муниципального финансового контроля, наделенный статусом юридического лица, является участником бюджетного процесса, обладающая бюджетными полномочиями, функционирует одиннадцать лет.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Деятельность Контрольно-счетной палаты в отчетном году осуществлялась в единой системе предотвращения бюджетно-финансовых нарушений, контроля за исполнением доходной и расходной частей бюджета района, внедрения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принципов аудита эффективности использования финансовых ресурсов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и муниципальной собственности.</w:t>
      </w:r>
      <w:r>
        <w:rPr>
          <w:highlight w:val="white"/>
        </w:rPr>
      </w:r>
      <w:r/>
    </w:p>
    <w:p>
      <w:pPr>
        <w:contextualSpacing/>
        <w:jc w:val="both"/>
        <w:spacing w:after="240" w:line="240" w:lineRule="auto"/>
        <w:rPr>
          <w:bCs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ab/>
        <w:t xml:space="preserve">Контрольно-счетная палата, как и в предыдущие годы в отчетном периоде приняла на исполнение также полномочия контрольно-счетных органов по осуществлению муниципального финансового контроля всех пяти  сельских поселений района.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ab/>
      </w:r>
      <w:r>
        <w:rPr>
          <w:highlight w:val="white"/>
        </w:rPr>
      </w:r>
      <w:r/>
    </w:p>
    <w:p>
      <w:pPr>
        <w:contextualSpacing/>
        <w:jc w:val="both"/>
        <w:spacing w:after="24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highlight w:val="none"/>
        </w:rPr>
        <w:tab/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связи с вступившими в силу с 30.09.2021 года изменениями Федеральног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 закона №6-ФЗ администрацией муниципального образования Староминский район, Советом муниципального образования Староминский район и Контрольно-счетной палатой приведены в соответствие ряд муниципальных правовых актов, регулирующих вопросы осуществления вн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ешнего муниципального финансового контроля на территории муниципального образования Староминский район, среди которых Устав муниципального образования Староминский район в части полномочий Контрольно-счетной палаты, Положение о контрольно-счетной палате. 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 2022 году вся деятельность Контрольно-счетной палаты осуществлялась в строгом соответствии с Уставом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и решением Совета муниципального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«О контрольно-счетной палате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район», в соответствии с  планом работы Контрольно-счетной палаты на 2022 год, утвержденного председателем Контрольно-счетной палаты. При формировании годового плана работы учтены поручения Совета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район, поручения Советов всех пяти поселений, входящих в состав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район, а также предложения главы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и глав поселений.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Деятельность Контрольно-счетной палаты планировалась по четырем направлениям: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-мероприятия по контролю формирования и исполнения бюджета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 и сельских поселений, входящих в состав муниципального образования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район;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-контрольные и экспертно-аналитические мероприятия;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-информационные мероприятия;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-организационно-технические мероприятия.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Планирование деятельности Контрольно-счетной палаты за 2022 год осуществлялось исходя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из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-необходимости соблюдения процедур и сроков проведения мероприятий по формированию и исполнению местного  бюджета, установленных бюджетным законодательством;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-полномочий, предусмотренных Бюджетным кодексом Российской Федерации, Федеральным законом №6-ФЗ и Положением о контрольно-счетной палате;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-наличия трудовых ресурсов, а именно численности Контрольно-счетной палаты.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 2022 году фактическая численность Контрольно-счетной палаты составила 3 штатные единицы.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Основные задачи Контрольно-счетной палаты в отчетном периоде заключались в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контроле за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исполнением местного бюджета и бюджетов сельских поселен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ий, а также за соблюдением установленного порядка подготовки и рассмотрения проектов местных бюджетов района и поселений, отчета об исполнении местных бюджетов, в повышении эффективности использования средств местных бюджетов и муниципальной собственности.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Целью контрольной и экспертно-аналитической деятельности являлась разработка предложений и рекоменд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аций, направленных не только на устранение выявленных нарушений и недостатков, а также на их предотвращение и предупреждение, на выявление системных причин, негативно влияющих на качество управленческих решений принимаемых органами местного самоуправления.</w:t>
      </w:r>
      <w:r>
        <w:rPr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Основные итоги работы Контрол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ьно-счетной палаты в 2022 году.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целом в отчетном году сотрудниками Контрольно-счетной палаты проведено 60 мероприятий, из них 18 контрольных мероприятий, 1 аудит в сфере закупок  и 41 экспертно-аналитическое мероприятие.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Контрольными мероприятиями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охвачены 19 объектов проверки, из них 16 органов местного самоуправления, 2 муниципальных учреждения, 1 государственное учреждение (по запросу Прокуратуры Староминского района).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Объем проверенных средств составил 1 528 824,7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</w:t>
      </w:r>
      <w:r>
        <w:rPr>
          <w:rFonts w:ascii="Times New Roman" w:hAnsi="Times New Roman"/>
          <w:sz w:val="28"/>
          <w:szCs w:val="28"/>
          <w:highlight w:val="white"/>
        </w:rPr>
        <w:t xml:space="preserve">й, в том числе 1 459 950,6 тыс. рублей при внешней проверке отчета об исполнении бюджета и бюджетной (бухгалтерской) отчетности, аудит в сфере закупок      9 756,4 тыс.рублей и прочие контрольные мероприятия на сумму                    59 117,7 тыс.рублей.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Стоимость проверенного имущества составила 44 268,1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Результаты проведенных в отчетном периоде контрольных и </w:t>
      </w:r>
      <w:r>
        <w:rPr>
          <w:rFonts w:ascii="Times New Roman" w:hAnsi="Times New Roman"/>
          <w:sz w:val="28"/>
          <w:szCs w:val="28"/>
          <w:highlight w:val="white"/>
        </w:rPr>
        <w:t xml:space="preserve">экспертно-аналитических мероприятий свидетельствуют о том, что бюджетные средства, выделяемые на финансирование органов местного самоуправления и учреждений, в основном, использовались в соответствии с требованиями действующего бюджетного законодательства.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Вместе с тем, имеются финансовые нарушения и недостатки.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отчетном периоде Контрольно-счетной палатой выявлено финансовых нарушений и недостатков на сумму 63,6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</w:rPr>
        <w:t xml:space="preserve">блей, нарушение заключается в том, что администрацией Куйбышевского сельского поселения Староминского района произведено расходование средств межбюджетных трансфертов из бюджета муниципального образования Староминский район не в соответствии с целями их пр</w:t>
      </w:r>
      <w:r>
        <w:rPr>
          <w:rFonts w:ascii="Times New Roman" w:hAnsi="Times New Roman"/>
          <w:sz w:val="28"/>
          <w:szCs w:val="28"/>
          <w:highlight w:val="white"/>
        </w:rPr>
        <w:t xml:space="preserve">едоставления. В результате бюджетных мер принуждения средства в сумме 63,6 тыс.рублей поступили в доход бюджета муниципального образования Староминский район. Кроме этого неэффективное использование бюджетных средств на сумму                     1563,5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в том числе штрафы, пени в сумме 294,3 тыс.рублей.</w:t>
      </w:r>
      <w:r>
        <w:rPr>
          <w:rFonts w:ascii="Times New Roman" w:hAnsi="Times New Roman"/>
          <w:sz w:val="28"/>
          <w:szCs w:val="28"/>
          <w:highlight w:val="cyan"/>
        </w:rP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Далее, нарушения порядка ведения бюджетного (бухгалтерского) учета, со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ставления и предоставления отчетности на сумму                                52 765,5 тыс.рублей, в том числе повлиявшие на достоверность отчета об исполнении бюджета и бюджетной отчетности н</w:t>
      </w:r>
      <w:r>
        <w:rPr>
          <w:rFonts w:ascii="Times New Roman" w:hAnsi="Times New Roman"/>
          <w:sz w:val="28"/>
          <w:szCs w:val="28"/>
          <w:highlight w:val="white"/>
        </w:rPr>
        <w:t xml:space="preserve">а сумму 3 023,2 тыс.рублей. Структура выявленных нарушений представлена следующим образом: 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нарушение требований, предъявляемых к оформлению фактов хозяйственной жизни экономического субъекта первичными учетными документами   21 144,8 тыс.рублей;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нарушение тре</w:t>
      </w:r>
      <w:r>
        <w:rPr>
          <w:rFonts w:ascii="Times New Roman" w:hAnsi="Times New Roman"/>
          <w:sz w:val="28"/>
          <w:szCs w:val="28"/>
          <w:highlight w:val="white"/>
        </w:rPr>
        <w:t xml:space="preserve">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определенных экономическим субъектом 28 370,6 тыс.рублей;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нарушение (грубое нарушение) правил ведени</w:t>
      </w:r>
      <w:r>
        <w:rPr>
          <w:rFonts w:ascii="Times New Roman" w:hAnsi="Times New Roman"/>
          <w:sz w:val="28"/>
          <w:szCs w:val="28"/>
          <w:highlight w:val="white"/>
        </w:rPr>
        <w:t xml:space="preserve">я бухгалтерского учета, выразившееся в искажении любой статьи (строки) формы бухгалтерской отчетности не менее чем на 10 процентов в сумме                      2 845,0 тыс.рублей;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недостоверное отражение (не отражение) в учете и отчетности показателей дебиторской и кредиторской</w:t>
      </w:r>
      <w:r>
        <w:rPr>
          <w:rFonts w:ascii="Times New Roman" w:hAnsi="Times New Roman"/>
          <w:sz w:val="28"/>
          <w:szCs w:val="28"/>
          <w:highlight w:val="white"/>
        </w:rPr>
        <w:t xml:space="preserve"> задолженности на сумму             178,2 тыс.рублей;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прочие нарушения на сумму 226,9 тыс.рублей. </w:t>
      </w:r>
      <w:r>
        <w:rPr>
          <w:highlight w:val="white"/>
        </w:rPr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 результатам проверки устранены нарушения порядка ведения бюджетного (бухгалтерского) учета, составления и предоставления отчетности на сумму 3 353,4 тыс.рублей, составл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ены три протокола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 административном правонарушении по ч.2 ст.15.15.6 КоАП РФ,                   ч.4. ст.15.15.6 КоАП РФ, ч.7 ст.15.15.6 КоАП РФ, по результатам суда признаны виновными в совершении административного правонарушения два главных бухгалтера сельских поселений.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Установлены факты нарушения действующего законодательства (Бюджетного кодекса РФ, Гражданского кодекса РФ и так далее) в стоимостном выражении на общую сумму 5 044,1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ублей. Стоимость имущества, используемого с нарушением установленного порядка управления и распоряжения имуществом составила 44 268,1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нарушение выявлено в ходе проведения внеплановой проверки «законности и эффективности использования в 2021 году средств бюджета Староминского сельского поселения Староминского района на ремонт авто</w:t>
      </w:r>
      <w:r>
        <w:rPr>
          <w:rFonts w:ascii="Times New Roman" w:hAnsi="Times New Roman"/>
          <w:sz w:val="28"/>
          <w:szCs w:val="28"/>
          <w:highlight w:val="white"/>
        </w:rPr>
        <w:t xml:space="preserve">мобильных дорог в рамках муниципальной программы «Дорожное хозяйство и повышение безопасности дорожного движения на территории Староминского сельского поселения». Так выявлено, что по 8 объектам автомобильных дорог отсутствуют кадастровые номера муниципаль</w:t>
      </w:r>
      <w:r>
        <w:rPr>
          <w:rFonts w:ascii="Times New Roman" w:hAnsi="Times New Roman"/>
          <w:sz w:val="28"/>
          <w:szCs w:val="28"/>
          <w:highlight w:val="white"/>
        </w:rPr>
        <w:t xml:space="preserve">ного недвижимого имущества, т.е. объекты не зарегистрированы в органе регистрации прав, что является нарушением статей 130, 131 Гражданского кодекса РФ и п.6 ст.1 Федерального закона от 13.07.2015 года №218-ФЗ «О государственной регистрации недвижимости». </w:t>
      </w:r>
      <w:r>
        <w:rPr>
          <w:rFonts w:ascii="Times New Roman" w:hAnsi="Times New Roman"/>
          <w:sz w:val="28"/>
          <w:szCs w:val="28"/>
          <w:highlight w:val="cyan"/>
        </w:rPr>
        <w:t xml:space="preserve"> </w:t>
      </w:r>
      <w:r>
        <w:rPr>
          <w:highlight w:val="cyan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Структура выявляемых нарушений на протяжении нескольких лет меняется в зависимости от тематики проведенных контрольных мероприятий.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Результаты всех контрольных мероприятий доведены до сведения руководителей объектов проверки в виде представлений и информационных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писем с указанием предложений и рекомендаций, направленных на устранение выявленных замечаний и нарушений.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Отдельным мероприятием проводился аудит в сфере закупок в котором выявлено неправомерное использование бюджетных средств в сумме           242,4 тысяч рублей, средства возвращены в доход муниципального образования Староминский район.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Благодаря мерам, принимаемым администрациями муниципальных образований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 и проверяемыми учреждениями, за отчетный период устранено нарушений на сумму 5 476,7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в том числе: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-устранено финансовых нарушений на сумму 63,6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ублей, средства возвращены в доход бюджета;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-неэффективного использования средств в сумме 79,2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-устранены нарушения порядка ведения бюджетного (бухгалтерского) учета, составления и предоставления отчетности 3 353,4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-приняты меры по устранению нарушений действующего законодательства на сумму 1 738,1 тыс</w:t>
      </w:r>
      <w:r>
        <w:rPr>
          <w:rFonts w:ascii="Times New Roman" w:hAnsi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/>
          <w:sz w:val="28"/>
          <w:szCs w:val="28"/>
          <w:highlight w:val="white"/>
        </w:rPr>
        <w:t xml:space="preserve">ублей;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-приняты меры по устранению нарушений, выявленных аудитом в сфере закупок в сумме 242,4 тыс.рублей, средства возвращены в доход бюджета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Всего за 2022 год направлено 18 представлений об устранении выявленных нарушений и недостатков, 1 предписание.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Кроме этого по материалам проверки привлечено к дисциплинарной ответственности 13 должностных лиц.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Направлено материалов в Прокуратуру Староминского района в количестве 2 единиц.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материалам контрольных мероприятий Контрольно-счетной палаты возбуждено 5 административных дела по ч.20 ст.19.5 КоАП РФ,                     ч.2 ст.15.15.6 КоАП РФ; ч.7 ст.15.15.6 КоАП РФ; ч.4 ст.15.15.6 КоАП РФ, ст.19.7 КоАП РФ и направлены в суды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района, по которым вынесены постановления о привлечении к административной ответственности должностных лиц проверяемых объектов, а по ст.19.7 КоАП РФ производство по делу об административном правонарушении прекращено, по истечению сроков давности.</w:t>
      </w:r>
      <w:r>
        <w:rPr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За нарушения требований Федерального закона от 5 апрел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я 2013 года №44-ФЗ «О контрактной системе в сфере закупок товаров, работ, услуг для обеспечения государственных и муниципальных нужд» направлено в Управление федеральной антимонопольной службы 5 материалов, а в Прокуратуру Староминского района 1 материал.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Отчеты по результатам проведенных контрольных мероприятий направлялись главе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район, председателю Совета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и главам сельских поселений, председателям Советов сельских поселений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Наряду с контрольными</w:t>
      </w:r>
      <w:r>
        <w:rPr>
          <w:rFonts w:ascii="Times New Roman" w:hAnsi="Times New Roman"/>
          <w:sz w:val="28"/>
          <w:szCs w:val="28"/>
          <w:highlight w:val="white"/>
        </w:rPr>
        <w:t xml:space="preserve"> мероприятиями, Контрольно-счетная палата проводила и экспертно-аналитические мероприятия. Проведенными экспертно-аналитическими мероприятиями Контрольно-счетной  палатой в отчетном периоде охвачены представленные администрацией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и администрациями сельских поселений проекты решений о местном бюджете и утверждении отчетов об исполнении местных бюджетов.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результатам данных мероприятий подготовлены заключения, которые направлены в Советы и главам муниципальных образований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района. Предложения и рекомендации, отраженные в заключениях контрольно-счетной палаты, практически в полном объеме приняты органами местного самоуправления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района.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Контрольно-счетной палатой проведено 41 экспертно-аналитическое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мероприятие</w:t>
      </w:r>
      <w:r>
        <w:rPr>
          <w:rFonts w:ascii="Times New Roman" w:hAnsi="Times New Roman"/>
          <w:sz w:val="28"/>
          <w:szCs w:val="28"/>
          <w:highlight w:val="white"/>
        </w:rPr>
        <w:t xml:space="preserve"> из которых: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-6 по проектам решений о бюджете;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-18 о ходе исполнения бюджета;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-6 по проектам решений об исполнении бюджета;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-11 по финансово-экономической экспертизе проектов муниципальных правовых актов.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Объем средств, охваченных экспертно-аналитическими мероприятиями, составил 3 709 484,3 тыс. рублей, в том числе в отношении сельских поселений 577 983,7 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итогам проведенных экспертно-аналитических мероприятий выявлено нарушение действующего </w:t>
      </w:r>
      <w:r>
        <w:rPr>
          <w:rFonts w:ascii="Times New Roman" w:hAnsi="Times New Roman"/>
          <w:sz w:val="28"/>
          <w:szCs w:val="28"/>
          <w:highlight w:val="white"/>
        </w:rPr>
        <w:t xml:space="preserve">законодательства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имеющее стоимостное выражение в сумме 1538,1 тыс. рублей.</w:t>
      </w:r>
      <w:r>
        <w:rPr>
          <w:rFonts w:ascii="Times New Roman" w:hAnsi="Times New Roman"/>
          <w:sz w:val="28"/>
          <w:szCs w:val="28"/>
          <w:highlight w:val="white"/>
        </w:rPr>
        <w:t xml:space="preserve"> В том числе: нарушение ст.81 Бюджетного кодекса РФ, Закона Краснодарского края от 27.09.2012 г. №2584-КЗ, Устава муниципального образования Староминский район, постановления администрации муниципального образования Староминский район от 16.08.2018 №1188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Об утверждении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Положения о порядке использования бюджетных ассигно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ваний резервного фонда администрации муниципального образования Староминский район» в сумме                       969,6 тыс.рублей, выразившее в неправомерном выделении бюджетных средств резервного фонда на исполнение государс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твенных полномочий. В результате провод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имого мероприятия средства в сумме 969,6 тыс.рублей возвращены в резервный фонд и недопущено нецелевое использование бюджетных средств. Структуру остальных нарушений в сумме 568,5 тыс.рублей : нарушение ст.81 БК РФ, ст.160.1, ст.184.1 БК РФ, ст.29 БК РФ).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cyan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87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Информационная деятельность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Информационная деятельность Контрольно-счетной палаты состоит в информировании органов местного самоуправления и населения муниципального образования о результатах проведенных контрольных и экспертно-аналитических мероприятий.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Положением о Контрольно-счетной палате в Совет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район, Советы сельских поселений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район, а также в администрации района и поселений для ознакомления и принятия мер направлялись отчеты по итогам проведенных Контрольно-счетной палатой мероприятий и информация по экспертно-аналитическим мероприятиям всего в количестве</w:t>
      </w:r>
      <w:r>
        <w:rPr>
          <w:rFonts w:ascii="Times New Roman" w:hAnsi="Times New Roman"/>
          <w:sz w:val="28"/>
          <w:szCs w:val="28"/>
          <w:highlight w:val="white"/>
        </w:rPr>
        <w:t xml:space="preserve"> 107 единиц.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о деятельности Контрольно-счетной палаты и проведенных контрольных и экспертно-аналитических мероприятиях, о выявленных при их проведении нарушениях размещена на официальном сайте Контрольно-счетной палаты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kspminsk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3. Организационная деятельность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Особое значение при организации работы в отчетном периоде придавалось развитию взаимоотношений с Контрольно-счетной палатой Краснодарского края и контрольно-счетными органами муниципальных образований Кр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снодарского края. С ноября 2013 года Контрольно-счетная палата находится в составе Совета контрольно-счетных органов Краснодарского края, который оказывает консультативную, методическую помощь в проведении контрольных и экспертно-аналитических мероприятий.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4. Основные направления деятельности Контрольно-счетной палаты в 2023 году</w:t>
      </w:r>
      <w:r>
        <w:rPr>
          <w:highlight w:val="whit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08"/>
        <w:jc w:val="both"/>
        <w:spacing w:after="0" w:line="240" w:lineRule="auto"/>
        <w:rPr>
          <w:color w:val="000000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Основные направления деятельности Контрольно-счетной палаты на 2023 год отражены в плане работы, которым предусмотрено осуществление комплекса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контрольных и экспертно-аналитических мероприятий, обеспечивающего реализацию задач и функций, возложенных на Контрольно-счетную палату. В 2023 году предусмотрено проведение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контрольных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экспертно-аналитических мероприятий, а также ряд мероприятий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информационной, правовой, организационной деятельности. Постоянным плановым мероприятием является экспертиза проектов нормативных правовых актов, регулирующих бюджетные правоотношения. Также будет продолжена деятельность по финансово-экономической экспер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 Особое внимание будет уделено повышению качества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контроля 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исполнением местного бюджета, экспертизы проектов местного бюджета. Деятельность палаты будет ориентирована на повышение информационной открытости и прозрачности путем освещения всех направлений деятельности Контрольно-счетной палаты в сети Интернет.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2023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rFonts w:ascii="Times New Roman" w:hAnsi="Times New Roman"/>
          <w:color w:val="FF0000"/>
          <w:sz w:val="28"/>
          <w:szCs w:val="28"/>
          <w:highlight w:val="cyan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Председатель контрольно-счетной палаты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Е.Г.Дейнега</w:t>
      </w:r>
      <w:r>
        <w:rPr>
          <w:highlight w:val="whit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8" w:footer="708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75977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/>
    <w:r/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525"/>
        <w:tabs>
          <w:tab w:val="num" w:pos="8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545" w:hanging="525"/>
        <w:tabs>
          <w:tab w:val="num" w:pos="1545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Title Char"/>
    <w:basedOn w:val="684"/>
    <w:link w:val="701"/>
    <w:uiPriority w:val="10"/>
    <w:rPr>
      <w:sz w:val="48"/>
      <w:szCs w:val="48"/>
    </w:rPr>
  </w:style>
  <w:style w:type="character" w:styleId="675">
    <w:name w:val="Subtitle Char"/>
    <w:basedOn w:val="684"/>
    <w:link w:val="703"/>
    <w:uiPriority w:val="11"/>
    <w:rPr>
      <w:sz w:val="24"/>
      <w:szCs w:val="24"/>
    </w:rPr>
  </w:style>
  <w:style w:type="character" w:styleId="676">
    <w:name w:val="Quote Char"/>
    <w:link w:val="705"/>
    <w:uiPriority w:val="29"/>
    <w:rPr>
      <w:i/>
    </w:rPr>
  </w:style>
  <w:style w:type="character" w:styleId="677">
    <w:name w:val="Intense Quote Char"/>
    <w:link w:val="707"/>
    <w:uiPriority w:val="30"/>
    <w:rPr>
      <w:i/>
    </w:rPr>
  </w:style>
  <w:style w:type="character" w:styleId="678">
    <w:name w:val="Footnote Text Char"/>
    <w:link w:val="840"/>
    <w:uiPriority w:val="99"/>
    <w:rPr>
      <w:sz w:val="18"/>
    </w:rPr>
  </w:style>
  <w:style w:type="character" w:styleId="679">
    <w:name w:val="Endnote Text Char"/>
    <w:link w:val="843"/>
    <w:uiPriority w:val="99"/>
    <w:rPr>
      <w:sz w:val="20"/>
    </w:rPr>
  </w:style>
  <w:style w:type="paragraph" w:styleId="680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81">
    <w:name w:val="Heading 1"/>
    <w:basedOn w:val="680"/>
    <w:next w:val="680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682">
    <w:name w:val="Heading 3"/>
    <w:basedOn w:val="680"/>
    <w:next w:val="680"/>
    <w:qFormat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683">
    <w:name w:val="Heading 4"/>
    <w:basedOn w:val="680"/>
    <w:next w:val="680"/>
    <w:qFormat/>
    <w:pPr>
      <w:jc w:val="center"/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link w:val="857"/>
    <w:uiPriority w:val="9"/>
    <w:rPr>
      <w:rFonts w:ascii="Arial" w:hAnsi="Arial" w:cs="Arial" w:eastAsia="Arial"/>
      <w:sz w:val="40"/>
      <w:szCs w:val="40"/>
    </w:rPr>
  </w:style>
  <w:style w:type="character" w:styleId="688" w:customStyle="1">
    <w:name w:val="Heading 2 Char"/>
    <w:basedOn w:val="684"/>
    <w:link w:val="858"/>
    <w:uiPriority w:val="9"/>
    <w:rPr>
      <w:rFonts w:ascii="Arial" w:hAnsi="Arial" w:cs="Arial" w:eastAsia="Arial"/>
      <w:sz w:val="34"/>
    </w:rPr>
  </w:style>
  <w:style w:type="character" w:styleId="689" w:customStyle="1">
    <w:name w:val="Heading 3 Char"/>
    <w:basedOn w:val="684"/>
    <w:link w:val="859"/>
    <w:uiPriority w:val="9"/>
    <w:rPr>
      <w:rFonts w:ascii="Arial" w:hAnsi="Arial" w:cs="Arial" w:eastAsia="Arial"/>
      <w:sz w:val="30"/>
      <w:szCs w:val="30"/>
    </w:rPr>
  </w:style>
  <w:style w:type="character" w:styleId="690" w:customStyle="1">
    <w:name w:val="Heading 4 Char"/>
    <w:basedOn w:val="684"/>
    <w:link w:val="860"/>
    <w:uiPriority w:val="9"/>
    <w:rPr>
      <w:rFonts w:ascii="Arial" w:hAnsi="Arial" w:cs="Arial" w:eastAsia="Arial"/>
      <w:b/>
      <w:bCs/>
      <w:sz w:val="26"/>
      <w:szCs w:val="26"/>
    </w:rPr>
  </w:style>
  <w:style w:type="paragraph" w:styleId="691" w:customStyle="1">
    <w:name w:val="Heading 5"/>
    <w:basedOn w:val="680"/>
    <w:next w:val="680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2" w:customStyle="1">
    <w:name w:val="Heading 5 Char"/>
    <w:basedOn w:val="684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 w:customStyle="1">
    <w:name w:val="Heading 6"/>
    <w:basedOn w:val="680"/>
    <w:next w:val="680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character" w:styleId="694" w:customStyle="1">
    <w:name w:val="Heading 6 Char"/>
    <w:basedOn w:val="684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 w:customStyle="1">
    <w:name w:val="Heading 7"/>
    <w:basedOn w:val="680"/>
    <w:next w:val="680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character" w:styleId="696" w:customStyle="1">
    <w:name w:val="Heading 7 Char"/>
    <w:basedOn w:val="684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 w:customStyle="1">
    <w:name w:val="Heading 8"/>
    <w:basedOn w:val="680"/>
    <w:next w:val="680"/>
    <w:link w:val="698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character" w:styleId="698" w:customStyle="1">
    <w:name w:val="Heading 8 Char"/>
    <w:basedOn w:val="684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 w:customStyle="1">
    <w:name w:val="Heading 9"/>
    <w:basedOn w:val="680"/>
    <w:next w:val="680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0" w:customStyle="1">
    <w:name w:val="Heading 9 Char"/>
    <w:basedOn w:val="684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Title"/>
    <w:basedOn w:val="680"/>
    <w:next w:val="680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basedOn w:val="684"/>
    <w:link w:val="701"/>
    <w:uiPriority w:val="10"/>
    <w:rPr>
      <w:sz w:val="48"/>
      <w:szCs w:val="48"/>
    </w:rPr>
  </w:style>
  <w:style w:type="paragraph" w:styleId="703">
    <w:name w:val="Subtitle"/>
    <w:basedOn w:val="680"/>
    <w:next w:val="680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84"/>
    <w:link w:val="703"/>
    <w:uiPriority w:val="11"/>
    <w:rPr>
      <w:sz w:val="24"/>
      <w:szCs w:val="24"/>
    </w:rPr>
  </w:style>
  <w:style w:type="paragraph" w:styleId="705">
    <w:name w:val="Quote"/>
    <w:basedOn w:val="680"/>
    <w:next w:val="680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80"/>
    <w:next w:val="680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84"/>
    <w:link w:val="865"/>
    <w:uiPriority w:val="99"/>
  </w:style>
  <w:style w:type="character" w:styleId="710" w:customStyle="1">
    <w:name w:val="Footer Char"/>
    <w:basedOn w:val="684"/>
    <w:link w:val="867"/>
    <w:uiPriority w:val="99"/>
  </w:style>
  <w:style w:type="paragraph" w:styleId="711" w:customStyle="1">
    <w:name w:val="Caption"/>
    <w:basedOn w:val="680"/>
    <w:next w:val="68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link w:val="867"/>
    <w:uiPriority w:val="99"/>
  </w:style>
  <w:style w:type="table" w:styleId="713">
    <w:name w:val="Table Grid"/>
    <w:basedOn w:val="68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Table Grid Light"/>
    <w:basedOn w:val="68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basedOn w:val="68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basedOn w:val="68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basedOn w:val="68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basedOn w:val="68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"/>
    <w:basedOn w:val="68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basedOn w:val="68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basedOn w:val="68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basedOn w:val="68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basedOn w:val="68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basedOn w:val="68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basedOn w:val="68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 w:customStyle="1">
    <w:name w:val="Grid Table 5 Dark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6 Colorful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8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8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8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basedOn w:val="68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1"/>
    <w:basedOn w:val="68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5"/>
    <w:basedOn w:val="68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6"/>
    <w:basedOn w:val="68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List Table 1 Light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2"/>
    <w:basedOn w:val="68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basedOn w:val="68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basedOn w:val="68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 w:customStyle="1">
    <w:name w:val="List Table 7 Colorful"/>
    <w:basedOn w:val="68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1"/>
    <w:basedOn w:val="68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2"/>
    <w:basedOn w:val="68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3"/>
    <w:basedOn w:val="68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4"/>
    <w:basedOn w:val="68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5"/>
    <w:basedOn w:val="68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6"/>
    <w:basedOn w:val="68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ned - Accent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basedOn w:val="68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basedOn w:val="68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basedOn w:val="68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basedOn w:val="68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basedOn w:val="68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basedOn w:val="68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80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4"/>
    <w:uiPriority w:val="99"/>
    <w:unhideWhenUsed/>
    <w:rPr>
      <w:vertAlign w:val="superscript"/>
    </w:rPr>
  </w:style>
  <w:style w:type="paragraph" w:styleId="843">
    <w:name w:val="endnote text"/>
    <w:basedOn w:val="680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4"/>
    <w:uiPriority w:val="99"/>
    <w:semiHidden/>
    <w:unhideWhenUsed/>
    <w:rPr>
      <w:vertAlign w:val="superscript"/>
    </w:rPr>
  </w:style>
  <w:style w:type="paragraph" w:styleId="846">
    <w:name w:val="toc 1"/>
    <w:basedOn w:val="680"/>
    <w:next w:val="680"/>
    <w:uiPriority w:val="39"/>
    <w:unhideWhenUsed/>
    <w:pPr>
      <w:spacing w:after="57"/>
    </w:pPr>
  </w:style>
  <w:style w:type="paragraph" w:styleId="847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8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9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0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1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2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3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4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80"/>
    <w:next w:val="680"/>
    <w:uiPriority w:val="99"/>
    <w:unhideWhenUsed/>
    <w:pPr>
      <w:spacing w:after="0"/>
    </w:pPr>
  </w:style>
  <w:style w:type="paragraph" w:styleId="857" w:customStyle="1">
    <w:name w:val="Heading 1"/>
    <w:basedOn w:val="680"/>
    <w:next w:val="680"/>
    <w:link w:val="86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8" w:customStyle="1">
    <w:name w:val="Heading 2"/>
    <w:basedOn w:val="680"/>
    <w:next w:val="680"/>
    <w:link w:val="862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59" w:customStyle="1">
    <w:name w:val="Heading 3"/>
    <w:basedOn w:val="680"/>
    <w:next w:val="680"/>
    <w:link w:val="863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60" w:customStyle="1">
    <w:name w:val="Heading 4"/>
    <w:basedOn w:val="680"/>
    <w:next w:val="680"/>
    <w:link w:val="877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61" w:customStyle="1">
    <w:name w:val="Заголовок 1 Знак"/>
    <w:basedOn w:val="684"/>
    <w:link w:val="857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62" w:customStyle="1">
    <w:name w:val="Заголовок 2 Знак"/>
    <w:basedOn w:val="684"/>
    <w:link w:val="858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63" w:customStyle="1">
    <w:name w:val="Заголовок 3 Знак"/>
    <w:basedOn w:val="684"/>
    <w:link w:val="85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64">
    <w:name w:val="No Spacing"/>
    <w:uiPriority w:val="1"/>
    <w:qFormat/>
    <w:rPr>
      <w:sz w:val="22"/>
      <w:szCs w:val="22"/>
    </w:rPr>
  </w:style>
  <w:style w:type="paragraph" w:styleId="865" w:customStyle="1">
    <w:name w:val="Header"/>
    <w:basedOn w:val="680"/>
    <w:link w:val="866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684"/>
    <w:link w:val="865"/>
    <w:uiPriority w:val="99"/>
    <w:rPr>
      <w:sz w:val="22"/>
      <w:szCs w:val="22"/>
    </w:rPr>
  </w:style>
  <w:style w:type="paragraph" w:styleId="867" w:customStyle="1">
    <w:name w:val="Footer"/>
    <w:basedOn w:val="680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684"/>
    <w:link w:val="867"/>
    <w:uiPriority w:val="99"/>
    <w:rPr>
      <w:sz w:val="22"/>
      <w:szCs w:val="22"/>
    </w:rPr>
  </w:style>
  <w:style w:type="paragraph" w:styleId="869">
    <w:name w:val="Body Text"/>
    <w:basedOn w:val="680"/>
    <w:link w:val="870"/>
    <w:semiHidden/>
    <w:pPr>
      <w:spacing w:after="0" w:line="240" w:lineRule="auto"/>
      <w:shd w:val="clear" w:color="auto" w:fill="ffffff"/>
    </w:pPr>
    <w:rPr>
      <w:rFonts w:ascii="Times New Roman" w:hAnsi="Times New Roman"/>
      <w:color w:val="000000"/>
      <w:sz w:val="28"/>
      <w:szCs w:val="14"/>
      <w:lang w:eastAsia="ru-RU"/>
    </w:rPr>
  </w:style>
  <w:style w:type="character" w:styleId="870" w:customStyle="1">
    <w:name w:val="Основной текст Знак"/>
    <w:basedOn w:val="684"/>
    <w:link w:val="869"/>
    <w:semiHidden/>
    <w:rPr>
      <w:rFonts w:ascii="Times New Roman" w:hAnsi="Times New Roman"/>
      <w:color w:val="000000"/>
      <w:sz w:val="28"/>
      <w:szCs w:val="14"/>
      <w:shd w:val="clear" w:color="auto" w:fill="ffffff"/>
      <w:lang w:eastAsia="ru-RU"/>
    </w:rPr>
  </w:style>
  <w:style w:type="paragraph" w:styleId="871">
    <w:name w:val="Body Text Indent"/>
    <w:basedOn w:val="680"/>
    <w:link w:val="872"/>
    <w:semiHidden/>
    <w:pPr>
      <w:ind w:firstLine="708"/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2" w:customStyle="1">
    <w:name w:val="Основной текст с отступом Знак"/>
    <w:basedOn w:val="684"/>
    <w:link w:val="871"/>
    <w:semiHidden/>
    <w:rPr>
      <w:rFonts w:ascii="Times New Roman" w:hAnsi="Times New Roman"/>
      <w:sz w:val="28"/>
      <w:szCs w:val="24"/>
      <w:lang w:eastAsia="ru-RU"/>
    </w:rPr>
  </w:style>
  <w:style w:type="paragraph" w:styleId="873">
    <w:name w:val="Body Text 3"/>
    <w:basedOn w:val="680"/>
    <w:link w:val="874"/>
    <w:semiHidden/>
    <w:pPr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4" w:customStyle="1">
    <w:name w:val="Основной текст 3 Знак"/>
    <w:basedOn w:val="684"/>
    <w:link w:val="873"/>
    <w:semiHidden/>
    <w:rPr>
      <w:rFonts w:ascii="Times New Roman" w:hAnsi="Times New Roman"/>
      <w:sz w:val="28"/>
      <w:szCs w:val="24"/>
      <w:lang w:eastAsia="ru-RU"/>
    </w:rPr>
  </w:style>
  <w:style w:type="paragraph" w:styleId="875">
    <w:name w:val="Balloon Text"/>
    <w:basedOn w:val="680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684"/>
    <w:link w:val="875"/>
    <w:uiPriority w:val="99"/>
    <w:semiHidden/>
    <w:rPr>
      <w:rFonts w:ascii="Tahoma" w:hAnsi="Tahoma" w:cs="Tahoma"/>
      <w:sz w:val="16"/>
      <w:szCs w:val="16"/>
    </w:rPr>
  </w:style>
  <w:style w:type="character" w:styleId="877" w:customStyle="1">
    <w:name w:val="Заголовок 4 Знак"/>
    <w:basedOn w:val="684"/>
    <w:link w:val="860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paragraph" w:styleId="878">
    <w:name w:val="List Paragraph"/>
    <w:basedOn w:val="680"/>
    <w:uiPriority w:val="34"/>
    <w:qFormat/>
    <w:pPr>
      <w:contextualSpacing/>
      <w:ind w:left="720"/>
    </w:pPr>
  </w:style>
  <w:style w:type="paragraph" w:styleId="879">
    <w:name w:val="Header"/>
    <w:basedOn w:val="680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1"/>
    <w:basedOn w:val="684"/>
    <w:link w:val="879"/>
    <w:uiPriority w:val="99"/>
    <w:semiHidden/>
    <w:rPr>
      <w:sz w:val="22"/>
      <w:szCs w:val="22"/>
    </w:rPr>
  </w:style>
  <w:style w:type="paragraph" w:styleId="881">
    <w:name w:val="Footer"/>
    <w:basedOn w:val="680"/>
    <w:link w:val="88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1"/>
    <w:basedOn w:val="684"/>
    <w:link w:val="881"/>
    <w:uiPriority w:val="99"/>
    <w:semiHidden/>
    <w:rPr>
      <w:sz w:val="22"/>
      <w:szCs w:val="22"/>
    </w:rPr>
  </w:style>
  <w:style w:type="character" w:styleId="883" w:customStyle="1">
    <w:name w:val="Заголовок 1 Знак1"/>
    <w:basedOn w:val="684"/>
    <w:link w:val="68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4" w:customStyle="1">
    <w:name w:val="Заголовок 3 Знак1"/>
    <w:basedOn w:val="684"/>
    <w:link w:val="68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styleId="885" w:customStyle="1">
    <w:name w:val="Заголовок 4 Знак1"/>
    <w:basedOn w:val="684"/>
    <w:link w:val="683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A11D-DD68-48B3-B85B-33ABEB7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24</cp:revision>
  <dcterms:created xsi:type="dcterms:W3CDTF">2021-02-25T13:04:00Z</dcterms:created>
  <dcterms:modified xsi:type="dcterms:W3CDTF">2023-04-26T08:51:34Z</dcterms:modified>
</cp:coreProperties>
</file>