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850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-3809</wp:posOffset>
                </wp:positionV>
                <wp:extent cx="599440" cy="75184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944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9.8pt;mso-position-horizontal:absolute;mso-position-vertical-relative:text;margin-top:-0.3pt;mso-position-vertical:absolute;width:47.2pt;height:59.2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869"/>
        <w:jc w:val="right"/>
        <w:shd w:val="clear" w:color="auto" w:fill="auto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869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9"/>
        <w:jc w:val="center"/>
        <w:shd w:val="clear" w:color="auto" w:fill="auto"/>
        <w:rPr>
          <w:b/>
          <w:bCs/>
          <w:color w:val="auto"/>
          <w:sz w:val="32"/>
          <w:szCs w:val="28"/>
        </w:rPr>
      </w:pPr>
      <w:r>
        <w:rPr>
          <w:b/>
          <w:bCs/>
          <w:color w:val="auto"/>
          <w:sz w:val="32"/>
          <w:szCs w:val="28"/>
        </w:rPr>
        <w:t xml:space="preserve">РЕШЕНИЕ</w:t>
      </w:r>
      <w:r/>
    </w:p>
    <w:p>
      <w:pPr>
        <w:pStyle w:val="869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9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СОВЕТА МУНИЦИПАЛЬНОГО ОБРАЗОВАНИЯ </w:t>
      </w:r>
      <w:r/>
    </w:p>
    <w:p>
      <w:pPr>
        <w:pStyle w:val="869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СТАРОМИНСКИЙ РАЙОН</w:t>
      </w:r>
      <w:r/>
    </w:p>
    <w:p>
      <w:pPr>
        <w:pStyle w:val="869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9"/>
        <w:shd w:val="clear" w:color="auto" w:fill="auto"/>
        <w:rPr>
          <w:color w:val="auto"/>
          <w:szCs w:val="28"/>
        </w:rPr>
      </w:pPr>
      <w:r>
        <w:rPr>
          <w:color w:val="auto"/>
          <w:szCs w:val="28"/>
        </w:rPr>
        <w:t xml:space="preserve">от _22.05.2024_                                                                          №__41.3___</w:t>
      </w:r>
      <w:bookmarkStart w:id="0" w:name="_GoBack"/>
      <w:r/>
      <w:bookmarkEnd w:id="0"/>
      <w:r>
        <w:rPr>
          <w:color w:val="auto"/>
          <w:szCs w:val="28"/>
        </w:rPr>
        <w:t xml:space="preserve">__  </w:t>
      </w:r>
      <w:r/>
    </w:p>
    <w:p>
      <w:pPr>
        <w:pStyle w:val="858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ст-ца</w:t>
      </w:r>
      <w:r>
        <w:rPr>
          <w:rFonts w:ascii="Times New Roman" w:hAnsi="Times New Roman" w:cs="Times New Roman"/>
          <w:b w:val="0"/>
          <w:bCs w:val="0"/>
          <w:i w:val="0"/>
        </w:rPr>
        <w:t xml:space="preserve"> Староминская</w:t>
      </w:r>
      <w:r/>
    </w:p>
    <w:p>
      <w:pPr>
        <w:pStyle w:val="869"/>
        <w:shd w:val="clear" w:color="auto" w:fill="auto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869"/>
        <w:shd w:val="clear" w:color="auto" w:fill="auto"/>
        <w:rPr>
          <w:szCs w:val="28"/>
        </w:rPr>
      </w:pPr>
      <w:r>
        <w:rPr>
          <w:szCs w:val="28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5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 принятии к сведению отчета о деятельности контрольно-счетной палаты муниципального образования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 за 2023 год</w:t>
      </w:r>
      <w:r>
        <w:rPr>
          <w:highlight w:val="white"/>
        </w:rPr>
      </w:r>
      <w:r/>
    </w:p>
    <w:p>
      <w:pPr>
        <w:pStyle w:val="873"/>
        <w:rPr>
          <w:color w:val="FF0000"/>
          <w:szCs w:val="28"/>
          <w:highlight w:val="cyan"/>
        </w:rPr>
      </w:pPr>
      <w:r>
        <w:rPr>
          <w:color w:val="FF0000"/>
          <w:szCs w:val="28"/>
          <w:highlight w:val="cyan"/>
        </w:rPr>
      </w:r>
      <w:r>
        <w:rPr>
          <w:highlight w:val="cyan"/>
        </w:rPr>
      </w:r>
      <w:r/>
    </w:p>
    <w:p>
      <w:pPr>
        <w:pStyle w:val="873"/>
        <w:rPr>
          <w:color w:val="FF0000"/>
          <w:szCs w:val="28"/>
          <w:highlight w:val="cyan"/>
        </w:rPr>
      </w:pPr>
      <w:r>
        <w:rPr>
          <w:color w:val="FF0000"/>
          <w:szCs w:val="28"/>
          <w:highlight w:val="cyan"/>
        </w:rPr>
      </w:r>
      <w:r>
        <w:rPr>
          <w:highlight w:val="cyan"/>
        </w:rPr>
      </w:r>
      <w:r/>
    </w:p>
    <w:p>
      <w:pPr>
        <w:pStyle w:val="873"/>
        <w:rPr>
          <w:szCs w:val="28"/>
          <w:highlight w:val="cyan"/>
        </w:rPr>
      </w:pPr>
      <w:r>
        <w:rPr>
          <w:szCs w:val="28"/>
          <w:highlight w:val="cyan"/>
        </w:rPr>
      </w:r>
      <w:r>
        <w:rPr>
          <w:highlight w:val="cyan"/>
        </w:rPr>
      </w:r>
      <w:r/>
    </w:p>
    <w:p>
      <w:pPr>
        <w:pStyle w:val="873"/>
        <w:ind w:firstLine="284"/>
        <w:rPr>
          <w:szCs w:val="28"/>
          <w:highlight w:val="white"/>
        </w:rPr>
      </w:pPr>
      <w:r>
        <w:rPr>
          <w:szCs w:val="28"/>
          <w:highlight w:val="white"/>
        </w:rPr>
        <w:t xml:space="preserve">     </w:t>
      </w:r>
      <w:r>
        <w:rPr>
          <w:szCs w:val="28"/>
          <w:highlight w:val="white"/>
        </w:rPr>
        <w:t xml:space="preserve">В соответствии со статьей 19 Федерального закона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решением Совета муниципального образования </w:t>
      </w:r>
      <w:r>
        <w:rPr>
          <w:szCs w:val="28"/>
          <w:highlight w:val="white"/>
        </w:rPr>
        <w:t xml:space="preserve">Староминский</w:t>
      </w:r>
      <w:r>
        <w:rPr>
          <w:szCs w:val="28"/>
          <w:highlight w:val="white"/>
        </w:rPr>
        <w:t xml:space="preserve"> район от 23.11.2011 №19/1 «О контрольно-счетной палате муниципального образования </w:t>
      </w:r>
      <w:r>
        <w:rPr>
          <w:szCs w:val="28"/>
          <w:highlight w:val="white"/>
        </w:rPr>
        <w:t xml:space="preserve">Староминский</w:t>
      </w:r>
      <w:r>
        <w:rPr>
          <w:szCs w:val="28"/>
          <w:highlight w:val="white"/>
        </w:rPr>
        <w:t xml:space="preserve"> район», на основании статьи 25 Устава муниципального образования </w:t>
      </w:r>
      <w:r>
        <w:rPr>
          <w:szCs w:val="28"/>
          <w:highlight w:val="white"/>
        </w:rPr>
        <w:t xml:space="preserve">Староминский</w:t>
      </w:r>
      <w:r>
        <w:rPr>
          <w:szCs w:val="28"/>
          <w:highlight w:val="white"/>
        </w:rPr>
        <w:t xml:space="preserve"> район, Совет муниципального образования </w:t>
      </w:r>
      <w:r>
        <w:rPr>
          <w:szCs w:val="28"/>
          <w:highlight w:val="white"/>
        </w:rPr>
        <w:t xml:space="preserve">Староминский</w:t>
      </w:r>
      <w:r>
        <w:rPr>
          <w:szCs w:val="28"/>
          <w:highlight w:val="white"/>
        </w:rPr>
        <w:t xml:space="preserve"> район, РЕШИЛ:</w:t>
      </w:r>
      <w:r>
        <w:rPr>
          <w:highlight w:val="white"/>
        </w:rPr>
      </w:r>
      <w:r/>
    </w:p>
    <w:p>
      <w:pPr>
        <w:pStyle w:val="873"/>
        <w:numPr>
          <w:ilvl w:val="0"/>
          <w:numId w:val="1"/>
        </w:numPr>
        <w:ind w:left="0" w:firstLine="709"/>
        <w:tabs>
          <w:tab w:val="num" w:pos="0" w:leader="none"/>
          <w:tab w:val="clear" w:pos="825" w:leader="none"/>
          <w:tab w:val="left" w:pos="993" w:leader="none"/>
        </w:tabs>
        <w:rPr>
          <w:szCs w:val="28"/>
          <w:highlight w:val="white"/>
        </w:rPr>
      </w:pPr>
      <w:r>
        <w:rPr>
          <w:szCs w:val="28"/>
          <w:highlight w:val="white"/>
        </w:rPr>
        <w:t xml:space="preserve">Принять к сведению отчет о деятельности контрольно-счетной палаты муниципального образования </w:t>
      </w:r>
      <w:r>
        <w:rPr>
          <w:szCs w:val="28"/>
          <w:highlight w:val="white"/>
        </w:rPr>
        <w:t xml:space="preserve">Староминский</w:t>
      </w:r>
      <w:r>
        <w:rPr>
          <w:szCs w:val="28"/>
          <w:highlight w:val="white"/>
        </w:rPr>
        <w:t xml:space="preserve"> район за 2023 год согласно приложению к настоящему решению.</w:t>
      </w:r>
      <w:r>
        <w:rPr>
          <w:highlight w:val="white"/>
        </w:rPr>
      </w:r>
      <w:r/>
    </w:p>
    <w:p>
      <w:pPr>
        <w:pStyle w:val="871"/>
        <w:ind w:firstLine="709"/>
        <w:rPr>
          <w:szCs w:val="28"/>
          <w:highlight w:val="white"/>
        </w:rPr>
      </w:pPr>
      <w:r>
        <w:rPr>
          <w:szCs w:val="28"/>
          <w:highlight w:val="white"/>
        </w:rPr>
        <w:t xml:space="preserve">2. Решение вступает в силу со дня его подписания.</w:t>
      </w:r>
      <w:r>
        <w:rPr>
          <w:highlight w:val="white"/>
        </w:rPr>
      </w:r>
      <w:r/>
    </w:p>
    <w:p>
      <w:pPr>
        <w:pStyle w:val="871"/>
        <w:ind w:firstLine="360"/>
        <w:tabs>
          <w:tab w:val="num" w:pos="1541" w:leader="none"/>
        </w:tabs>
        <w:rPr>
          <w:b/>
          <w:bCs/>
          <w:szCs w:val="28"/>
          <w:highlight w:val="white"/>
        </w:rPr>
      </w:pPr>
      <w:r>
        <w:rPr>
          <w:b/>
          <w:bCs/>
          <w:szCs w:val="28"/>
          <w:highlight w:val="white"/>
        </w:rPr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Председатель Совета муниципального</w:t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образования </w:t>
      </w:r>
      <w:r>
        <w:rPr>
          <w:rFonts w:ascii="Times New Roman" w:hAnsi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sz w:val="28"/>
          <w:szCs w:val="28"/>
          <w:highlight w:val="white"/>
        </w:rPr>
        <w:t xml:space="preserve"> район                                             А.Н.Игнатенко</w:t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pStyle w:val="865"/>
        <w:tabs>
          <w:tab w:val="left" w:pos="708" w:leader="none"/>
        </w:tabs>
        <w:rPr>
          <w:rFonts w:ascii="Times New Roman" w:hAnsi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p>
      <w:pPr>
        <w:jc w:val="center"/>
        <w:spacing w:line="240" w:lineRule="auto"/>
        <w:rPr>
          <w:rFonts w:ascii="Times New Roman" w:hAnsi="Times New Roman"/>
          <w:b/>
          <w:color w:val="FF0000"/>
          <w:sz w:val="28"/>
          <w:szCs w:val="28"/>
          <w:highlight w:val="cyan"/>
        </w:rPr>
      </w:pPr>
      <w:r>
        <w:rPr>
          <w:rFonts w:ascii="Times New Roman" w:hAnsi="Times New Roman"/>
          <w:b/>
          <w:color w:val="FF0000"/>
          <w:sz w:val="28"/>
          <w:szCs w:val="28"/>
          <w:highlight w:val="cyan"/>
        </w:rPr>
      </w:r>
      <w:r>
        <w:rPr>
          <w:highlight w:val="cyan"/>
        </w:rPr>
      </w:r>
      <w:r/>
    </w:p>
    <w:tbl>
      <w:tblPr>
        <w:tblStyle w:val="7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ПРИЛОЖЕНИЕ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 решению Совета муниципального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образования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Староминский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район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от _22.05.2024__№_41.3____</w:t>
            </w:r>
            <w:r>
              <w:rPr>
                <w:highlight w:val="white"/>
              </w:rPr>
            </w:r>
            <w:r/>
          </w:p>
        </w:tc>
      </w:tr>
    </w:tbl>
    <w:p>
      <w:pPr>
        <w:jc w:val="center"/>
        <w:spacing w:after="240" w:line="240" w:lineRule="auto"/>
        <w:rPr>
          <w:rFonts w:ascii="Times New Roman" w:hAnsi="Times New Roman"/>
          <w:b/>
          <w:color w:val="FF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center"/>
        <w:spacing w:after="24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Отчет о деятельности контрольно-счетной палаты муниципального образования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 за 2023 год</w:t>
      </w:r>
      <w:r>
        <w:rPr>
          <w:highlight w:val="white"/>
        </w:rPr>
      </w:r>
      <w:r/>
    </w:p>
    <w:p>
      <w:pPr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Настоящий годовой отчет о деятельности контрольно-счетной палаты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 за 2023 год  подготовлен в соответствии с требованиями статьи 19 Федерального закона от 7 февраля 2011 год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а 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  и статьи 20 Положения о контрольно-счетной палате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район, утвержденного решением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Совета муниципального 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 от 23.11.2011 №19/1 «О контрольно-счетной палате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район» (далее – Положение о контрольно-счетной палате) и  включает в себя общие сведения о результатах проведенных контрольных и экспертно-аналитических мероприятий, вытекающих из них выводах, рекомендациях и предложениях.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jc w:val="center"/>
        <w:spacing w:after="240" w:line="240" w:lineRule="auto"/>
        <w:rPr>
          <w:rFonts w:ascii="Times New Roman" w:hAnsi="Times New Roman" w:cs="Times New Roman" w:eastAsia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bCs/>
          <w:sz w:val="28"/>
          <w:szCs w:val="28"/>
          <w:highlight w:val="white"/>
          <w:lang w:eastAsia="ru-RU"/>
        </w:rPr>
        <w:t xml:space="preserve">1. Деятельность контрольно-счетной палаты (общая часть)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Контрольно-счетная палата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 (далее - Контрольно-счетная палата) была создана Советом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 1 февраля 2012 года к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ак са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мостоятельный орган местного самоуправления, являющийся органом внешнего муниципального финансового контроля, наделенный статусом юридического лица, является участником бюджетного процесса, обладающая бюджетными полномочиями, функционирует двенадцать лет.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Деятельность Контрольно-счетной палаты в отчетном году осуществлялась в единой системе предотвращения бюджетно-финансовых нарушений, контроля за исполнением доходной и расходной частей бюджета района, внедрения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принципов аудита эффективности использования финансовых ресурсов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и муниципальной собственности.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jc w:val="both"/>
        <w:spacing w:after="240" w:line="240" w:lineRule="auto"/>
        <w:rPr>
          <w:rFonts w:ascii="Times New Roman" w:hAnsi="Times New Roman" w:cs="Times New Roman" w:eastAsia="Times New Roman"/>
          <w:bCs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ab/>
        <w:t xml:space="preserve">Контрольно-счетная палата, как и в предыдущие годы в отчетном периоде приняла на исполнение также полномочия контрольно-счетных органов по осуществлению муниципального финансового контроля всех пяти  сельских поселений района.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jc w:val="both"/>
        <w:spacing w:after="24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highlight w:val="white"/>
        </w:rPr>
        <w:tab/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В 2023 году вся деятельность Контрольно-счетной палаты осуществлялась в строгом соответствии с Уставом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 и решением Совета муниципального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 «О контрольно-счетной палате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район», в соответствии с  планом работы Контрольно-счетной палаты на 2023 год, утвержденного председателем Контрольно-счетной палаты. При формировании годового плана работы учтены поручения Совета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район, поручения Советов всех пяти поселений, входящих в состав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район, а также предложения главы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 и глав поселений.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Деятельность Контрольно-счетной палаты планировалась по четырем направлениям: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-мероприятия по контролю формирования и исполнения бюджета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 и сельских поселений, входящих в состав муниципального образования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район;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-контрольные и экспертно-аналитические мероприятия;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-информационные мероприятия;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-организационно-технические мероприятия.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Планирование деятельности Контрольно-счетной палаты за 2023 год осуществлялось исходя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из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-необходимости соблюдения процедур и сроков проведения мероприятий по формированию и исполнению местного  бюджета, установленных бюджетным законодательством;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-полномочий, предусмотренных Бюджетным кодексом Российской Федерации, Федеральным законом №6-ФЗ и Положением о контрольно-счетной палате;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-наличия трудовых ресурсов, а именно численности Контрольно-счетной палаты.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В 2023 году фактическая численность Контрольно-счетной палаты составила 3 штатные единицы.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Основные задачи Контрольно-счетной палаты в отчетном периоде заключались в 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контроле за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 исполнением местного бюджета и бюджетов сельских поселен</w:t>
      </w:r>
      <w:r>
        <w:rPr>
          <w:rFonts w:ascii="Times New Roman" w:hAnsi="Times New Roman" w:cs="Times New Roman" w:eastAsia="Times New Roman"/>
          <w:bCs/>
          <w:sz w:val="28"/>
          <w:szCs w:val="28"/>
          <w:highlight w:val="white"/>
          <w:lang w:eastAsia="ru-RU"/>
        </w:rPr>
        <w:t xml:space="preserve">ий, а также за соблюдением установленного порядка подготовки и рассмотрения проектов местных бюджетов района и поселений, отчета об исполнении местных бюджетов, в повышении эффективности использования средств местных бюджетов и муниципальной собственности.</w:t>
      </w:r>
      <w:r>
        <w:rPr>
          <w:rFonts w:ascii="Times New Roman" w:hAnsi="Times New Roman" w:cs="Times New Roman" w:eastAsia="Times New Roman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Целью контрольной и экспертно-аналитической деятельности являлась разработка предложений и рекоменд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аций, направленных не только на устранение выявленных нарушений и недостатков, а также на их предотвращение и предупреждение, на выявление системных причин, негативно влияющих на качество управленческих решений принимаемых органами местного самоуправления.</w:t>
      </w:r>
      <w:r>
        <w:rPr>
          <w:color w:val="000000" w:themeColor="text1"/>
          <w:highlight w:val="white"/>
        </w:rPr>
      </w:r>
      <w:r/>
    </w:p>
    <w:p>
      <w:pPr>
        <w:contextualSpacing/>
        <w:ind w:firstLine="708"/>
        <w:jc w:val="both"/>
        <w:spacing w:after="240" w:line="240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Основные итоги работы Контрол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ьно-счетной палаты в 2023 году.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 целом в отчетном году сотрудниками Контрольно-счетной палаты проведено 80 мероприятий, из них 21 контрольное мероприятие  и 59 экспертно-аналитических мероприятий.</w:t>
      </w:r>
      <w:r>
        <w:rPr>
          <w:color w:val="000000" w:themeColor="text1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Контрольными мероприятиями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охвачены 21 объект проверки, из них    19 органов местного самоуправления, 2 муниципальных учреждения.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Объем проверенных средств составил 1 754 274,6 тыс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убле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й, в том числе 1 724 839,0 тыс. рублей при внешней проверке отчета об исполнении бюджета и бюджетной (бухгалтерской) отчетности и прочие контрольные мероприятия на сумму  29 436,6 тыс.рублей.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Стоимость проверенного имущества составила 32 815,5 тыс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ублей.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Результаты проведенных в отчетном периоде контрольных и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экспертно-аналитических мероприятий свидетельствуют о том, что бюджетные средства, выделяемые на финансирование органов местного самоуправления и учреждений, в основном, использовались в соответствии с требованиями действующего бюджетного законодательства.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Вместе с тем, имеются финансовые нарушения и недостатки.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отчетном периоде Контрольно-счетной палатой выявлено финансовых нарушений и недостатков на сумму 5 162,7 тыс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блей,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Структура выявленных нарушений представлена следующим образом: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-нарушение порядка и условий оплаты труда сотрудников муниципальных учреждений на сумму 162,7 тыс. рублей;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-нарушение порядка определения объема и предоставления из бюджета субсидий муниципальным унитарным предприятиям муниципального образования Староминский район 3000,0 тыс.рублей;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-нарушение постановления Правительства РФ от 21.06.2010 №468, ч.7.1. ст.53 Градостроительного кодекса РФ при строительстве двух объектов «Строительство центра единоборств «Русич» и «Реконструкция МБОУ СОШ№2 имени Героя Советс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кого Союза А.А.Артюха путем строительства блока основного и среднего образования с увеличением мест, расположе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нного в ст.Староминской Краснодарского края, ул.Пушкина, 135», заказчиком которых являлось муниципальное казенное учреждение «Управление капитального строительства администрации муниципального образования Староминский район», произведена оплата услуг строи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тельного контроля 2000,0 тыс.рублей в отсутствие результата строительного контроля №КС-2 (акта приемки выполненных строительно-монтажных работ), сроки выполнения строительного контроля с 29.12.2022 до 31.12.2022 года свидетельствуют о том, что в квалификац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ии контрактов на проведение строительного контроля за ходом выполнения строительно-монтажных работ имеются признаки мнимой сделки. 11.05.2023 года материалы проверки переданы в Прокуратуру Староминского района для применения мер прокурорского реагирования.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cy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Кроме этого неэффективное использование бюджетных средств на сумму 3 723,8  тыс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ублей, сложилось в результате использования бюджетных средств в нарушение ст.34 Бюджетного кодекса РФ на оплату штрафов, пени, разработки проектно-сметной документации без дальнейшего строительства объектов. </w:t>
      </w:r>
      <w:r>
        <w:rPr>
          <w:rFonts w:ascii="Times New Roman" w:hAnsi="Times New Roman" w:cs="Times New Roman" w:eastAsia="Times New Roman"/>
          <w:sz w:val="28"/>
          <w:szCs w:val="28"/>
          <w:highlight w:val="cyan"/>
        </w:rPr>
        <w:t xml:space="preserve"> </w:t>
      </w:r>
      <w:r>
        <w:rPr>
          <w:rFonts w:ascii="Times New Roman" w:hAnsi="Times New Roman" w:cs="Times New Roman" w:eastAsia="Times New Roman"/>
          <w:highlight w:val="cyan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Далее, нарушения порядка ведения бюджетного (бухгалтерского) учета, со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ставления и предоставления отчетности на сумму                                120 425,5 тыс.рублей, в том числе повлиявшие на достоверность отчета об исполнении бюджета и бюджетной отчетности н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а сумму 117 608,5 тыс.рублей.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Структура выявленных нарушений представлена следующим образом: </w:t>
      </w:r>
      <w:r>
        <w:rPr>
          <w:highlight w:val="white"/>
        </w:rPr>
      </w:r>
      <w:r/>
    </w:p>
    <w:p>
      <w:pPr>
        <w:pStyle w:val="878"/>
        <w:numPr>
          <w:ilvl w:val="0"/>
          <w:numId w:val="2"/>
        </w:numPr>
        <w:ind w:left="0" w:right="0" w:firstLine="1057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нарушение требований, предъявляемых к оформлению фактов хозяйственной жизни экономического субъекта первичными учетными документами   1 669,4 тыс.рублей;</w:t>
      </w:r>
      <w:r>
        <w:rPr>
          <w:highlight w:val="white"/>
        </w:rPr>
      </w:r>
      <w:r/>
    </w:p>
    <w:p>
      <w:pPr>
        <w:pStyle w:val="878"/>
        <w:numPr>
          <w:ilvl w:val="0"/>
          <w:numId w:val="2"/>
        </w:numPr>
        <w:ind w:left="0" w:right="0" w:firstLine="1057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нарушение тре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бований, предъявляемых к оформлению и ведению регистров бухгалтерского учета 406,7 тыс.рублей;</w:t>
      </w:r>
      <w:r>
        <w:rPr>
          <w:highlight w:val="white"/>
        </w:rPr>
      </w:r>
      <w:r/>
    </w:p>
    <w:p>
      <w:pPr>
        <w:ind w:left="0" w:right="0" w:firstLine="1057"/>
        <w:jc w:val="both"/>
        <w:spacing w:after="0" w:line="240" w:lineRule="auto"/>
        <w:rPr>
          <w:rFonts w:ascii="Times New Roman" w:hAnsi="Times New Roman" w:cs="Times New Roman" w:eastAsia="Times New Roman"/>
          <w:szCs w:val="28"/>
          <w:highlight w:val="cyan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нарушение требований, предъявляемых к применению правил ведения бюджетного (бухгалтерского учета) 740,9 тыс. рублей.</w:t>
      </w:r>
      <w:r>
        <w:rPr>
          <w:rFonts w:ascii="Times New Roman" w:hAnsi="Times New Roman" w:cs="Times New Roman" w:eastAsia="Times New Roman"/>
          <w:highlight w:val="cyan"/>
        </w:rPr>
      </w:r>
      <w:r/>
    </w:p>
    <w:p>
      <w:pPr>
        <w:ind w:left="0" w:right="0" w:firstLine="1057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cyan"/>
        </w:rPr>
      </w:pPr>
      <w:r>
        <w:rPr>
          <w:rFonts w:ascii="Times New Roman" w:hAnsi="Times New Roman" w:cs="Times New Roman" w:eastAsia="Times New Roman"/>
          <w:highlight w:val="cyan"/>
        </w:rPr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По результатам проверки устранены нарушения порядка ведения бюджетного (бухгалтерского) учета, составления и предоставления отчетности на сумму 99,9 тыс.рублей, составл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ены три протокола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об административном правонарушении по ч.4 ст.15.15.6 КоАП РФ, по результатам суда признаны виновными в совершении административного правонарушения три главных бухгалтера муниципального образования Староминский район.</w:t>
      </w:r>
      <w:r>
        <w:rPr>
          <w:color w:val="auto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Установлены факты нарушения действующего законодательства (Бюджетного кодекса РФ, Гражданского кодекса РФ и так далее) в стоимостном выражении на общую сумму 35 575,6 тыс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ублей.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Стоимость имущества, используемого с нарушением установленного порядка управления и распоряжения имуществом составила 731,1 тыс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ублей,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нару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шение выявлено в ходе проведения проверки «наличия и эффективности использования имущества муниципальной собственности, закрепленной на праве оперативного управления за администрациями Рассветовского и Новоясенского сельских поселений Староминского района»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 Так выявлено, что по 2 объектам недвижимости на сумму 627,8 тыс.рублей, в нарушение требований ст.131 Гражданского кодекса РФ и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п.6 ст.1 Федерального закона от 13.07.2015 года №218-ФЗ «О государственной регистрации недвижимости»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отсутствовала государственная регистрация права оперативного управления, а также нарушение порядка учета и ведения реестра муниципального имущества на сумму 103,2 тыс.рублей.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Структура выявляемых нарушений на протяжении нескольких лет меняется в зависимости от тематики проведенных контрольных мероприятий.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Результаты всех контрольных мероприятий доведены до сведения руководителей объектов проверки в виде представлений и информационных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писем с указанием предложений и рекомендаций, направленных на устранение выявленных замечаний и нарушений.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Благодаря мерам, принимаемым администрациями муниципальных образований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района и проверяемыми учреждениями, за отчетный период устранено нарушений на сумму 30 990,3 тыс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ублей, в том числе: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-устранено финансовых нарушений на сумму 4,7 тыс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ублей, средства возвращены в доход бюджета;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-устранены нарушения порядка ведения бюджетного (бухгалтерского) учета, составления и предоставления отчетности 99,9 тыс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ублей;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-приняты меры по устранению нарушений установленного порядка управления и распоряжения имуществом на сумму 731,1 тыс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ублей;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-приняты меры по устранению нарушений действующего законодательства (Бюджетного кодекса РФ, Градостроительного и Земельного кодексов РФ, законодательства о закупках) на сумму 30154,6 тысяч рублей.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Всего за 2023 год направлено 18 представлений об устранении выявленных нарушений и недостатков, 1 предписание.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Кроме этого по материалам проверки привлечено к дисциплинарной ответственности 6 должностных лиц.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Направлено материалов в Прокуратуру Староминского района и в правоохранительные органы  в количестве 5 единиц.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По материалам контрольных мероприятий Контрольно-с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четной палаты возбуждено 9 административных дел, в том числе по ч.4 ст.15.15.6 КоАП РФ «Грубое нарушение требований к бюджетному (бухгалтерскому учету, в том числе к составлению, либо представлению бюджетной или бухгалтерской (финансовой) отчетности, либо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деяния» признаны виновным 3 должностных лица, по ст.15.15.10 КоАП РФ «Нарушение порядка принятия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бюджетных обязательств» признано виновным 1 должностное лицо; ч.20 ст.19.5. КоАП РФ «Невыполнение в установленный срок законного предписания (представления) органа государственного (муниципального) финансового контроля» признаны виновными 5 должностных лиц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Виновным должностным лицам назначены штрафы, всего поступило в бюджет муниципального образования Староминский район 90 000 рублей, три должностных лица не оплатили штрафы в сумме 55 000 рублей, ведется работа по взысканию средств в бюджет.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</w:t>
      </w:r>
      <w:r>
        <w:rPr>
          <w:sz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Отчеты по результатам проведенных контрольных мероприятий направлялись главе муниципального образования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район, председателю Совета муниципального образования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район и главам сельских поселений, председателям Советов сельских поселений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района.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Наряду с контрольными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мероприятиями, Контрольно-счетная палата проводила и экспертно-аналитические мероприятия. Проведенными экспертно-аналитическими мероприятиями Контрольно-счетной  палатой в отчетном периоде охвачены представленные администрацией муниципального образования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район и администрациями сельских поселений проекты решений о местном бюджете и утверждении отчетов об исполнении местных бюджетов.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По результатам данных мероприятий подготовлены заключения, которые направлены в Советы и главам муниципальных образований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района. Предложения и рекомендации, отраженные в заключениях контрольно-счетной палаты, практически в полном объеме приняты органами местного самоуправления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района.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Контрольно-счетной палатой проведено 59 экспертно-аналитических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мероприятий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из которых: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-6 по проектам решений о бюджете;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-18 о ходе исполнения бюджета;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-7 по проектам решений об исполнении бюджета;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-26 по финансово-экономической экспертизе проектов муниципальных правовых актов;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-1 по анализу и мониторингу бюджетного процесса;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-1 прочие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Объем средств, охваченных экспертно-аналитическими мероприятиями, составил 2 601 988,5  тыс. рублей, в том числе в отношении сельских поселений 735 572,3 тыс. рублей.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По итогам проведенных экспертно-аналитических мероприятий выявлено нарушение действующего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законодательства,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имеющее стоимостное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выражение, в сумме 34 687,2 тыс. рублей.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том числе: выявлено финансовых нарушений на сумму 2000,0 тыс.рублей, неэффективного использования бюджетных средств на сумму 1096,9 тыс.рублей, нарушение ведения бухгалтерского (бюджетного) учета на сумму 99,9 тыс. рублей, 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нарушений действующего законодательства (Бюджетного кодекса РФ,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Градостроительного и Земельного кодексов РФ, законодательства о закупках) на сумму 31490,4 тысяч рублей.</w:t>
      </w:r>
      <w:r>
        <w:rPr>
          <w:rFonts w:ascii="Times New Roman" w:hAnsi="Times New Roman" w:cs="Times New Roman" w:eastAsia="Times New Roman"/>
          <w:highlight w:val="cyan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cyan"/>
        </w:rPr>
      </w:pPr>
      <w:r>
        <w:rPr>
          <w:rFonts w:ascii="Times New Roman" w:hAnsi="Times New Roman" w:cs="Times New Roman" w:eastAsia="Times New Roman"/>
          <w:highlight w:val="none"/>
        </w:rPr>
      </w:r>
      <w:r>
        <w:rPr>
          <w:rFonts w:ascii="Times New Roman" w:hAnsi="Times New Roman" w:cs="Times New Roman" w:eastAsia="Times New Roman"/>
          <w:highlight w:val="none"/>
        </w:rPr>
      </w:r>
      <w:r/>
    </w:p>
    <w:p>
      <w:pPr>
        <w:pStyle w:val="87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Информационная деятельность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b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Информационная деятельность Контрольно-счетной палаты состоит в информировании органов местного самоуправления и населения муниципального образования о результатах проведенных контрольных и экспертно-аналитических мероприятий.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В соответствии с Положением о Контрольно-счетной палате в Совет муниципального образования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район, Советы сельских поселений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район, а также в администрации района и поселений для ознакомления и принятия мер направлялись отчеты по итогам проведенных Контрольно-счетной палатой мероприятий и информация по экспертно-аналитическим мероприятиям всего в количестве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135 единиц.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Информация о деятельности Контрольно-счетной палаты и проведенных контрольных и экспертно-аналитических мероприятиях, о выявленных при их проведении нарушениях размещена на официальном сайте Контрольно-счетной палаты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val="en-US"/>
        </w:rPr>
        <w:t xml:space="preserve">kspminsk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.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FF0000"/>
          <w:sz w:val="28"/>
          <w:szCs w:val="28"/>
          <w:highlight w:val="cyan"/>
        </w:rPr>
      </w:pPr>
      <w:r>
        <w:rPr>
          <w:rFonts w:ascii="Times New Roman" w:hAnsi="Times New Roman" w:cs="Times New Roman" w:eastAsia="Times New Roman"/>
          <w:color w:val="FF0000"/>
          <w:sz w:val="28"/>
          <w:szCs w:val="28"/>
          <w:highlight w:val="cyan"/>
        </w:rPr>
      </w:r>
      <w:r>
        <w:rPr>
          <w:rFonts w:ascii="Times New Roman" w:hAnsi="Times New Roman" w:cs="Times New Roman" w:eastAsia="Times New Roman"/>
          <w:highlight w:val="cyan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3. Организационная деятельность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Особое значение при организации работы в отчетном периоде придавалось развитию взаимоотношений с Контрольно-счетной палатой Краснодарского края и контрольно-счетными органами муниципальных образований Кр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снодарского края. С ноября 2013 года Контрольно-счетная палата находится в составе Совета контрольно-счетных органов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Краснодарского края, который оказывает консультативную, методиче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скую помощь в проведении контрольных и экспертно-аналитических мероприятий.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white"/>
        </w:rPr>
        <w:t xml:space="preserve">4. Основные направления деятельности Контрольно-счетной палаты в 2024 году</w:t>
      </w:r>
      <w:r>
        <w:rPr>
          <w:highlight w:val="white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color w:val="FF0000"/>
          <w:sz w:val="28"/>
          <w:szCs w:val="28"/>
          <w:highlight w:val="cyan"/>
        </w:rPr>
      </w:pPr>
      <w:r>
        <w:rPr>
          <w:rFonts w:ascii="Times New Roman" w:hAnsi="Times New Roman" w:cs="Times New Roman" w:eastAsia="Times New Roman"/>
          <w:b/>
          <w:color w:val="FF0000"/>
          <w:sz w:val="28"/>
          <w:szCs w:val="28"/>
          <w:highlight w:val="cyan"/>
        </w:rPr>
      </w:r>
      <w:r>
        <w:rPr>
          <w:rFonts w:ascii="Times New Roman" w:hAnsi="Times New Roman" w:cs="Times New Roman" w:eastAsia="Times New Roman"/>
          <w:highlight w:val="cyan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Основные направления деятельности Контрольно-счетной палаты на 2024 год отражены в плане работы, которым предусмотрено осуществление комплекса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контрольных и экспертно-аналитических мероприятий, обеспечивающего реализацию задач и функций, возложенных на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Контрольно-счетную палату. В 2024 году предусмотрено проведение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17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контрольных и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33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экспертно-аналитических мероприятий,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а также 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яд мероприятий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 информационной, правовой, организационной деятельности. Постоянным плановым мероприятием является экспертиза проектов нормативных правовых актов, регулирующих бюджетные правоотношения. Также будет продолжена деятельность по финансово-экономической экспер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тизе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 Особое внимание будет уделено повышению качества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контроля за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исполнением местного бюджета, экспертизы проектов местного бюджета. Деятельность палаты будет ориентирована на повышение информационной открытости и прозрачности путем освещения всех направлений деятельности Контрольно-счетной палаты в сети Интернет.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 2024 году Контрольно-счетной палатой будет продолжена работа по совершенствованию внешнего муниципального финансового контроля, повышению его качества и эффективности.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FF0000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Председатель контрольно-счетной палаты</w:t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муниципального образования</w:t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 район                                     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Е.Г.Дейнега</w:t>
      </w:r>
      <w:r>
        <w:rPr>
          <w:highlight w:val="white"/>
        </w:rPr>
      </w:r>
      <w:r/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701" w:header="708" w:footer="708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75977"/>
      <w:docPartObj>
        <w:docPartGallery w:val="Page Numbers (Top of Page)"/>
        <w:docPartUnique w:val="true"/>
      </w:docPartObj>
      <w:rPr/>
    </w:sdtPr>
    <w:sdtContent>
      <w:p>
        <w:pPr>
          <w:pStyle w:val="879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jc w:val="center"/>
    </w:pPr>
    <w:r/>
    <w:r/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525"/>
        <w:tabs>
          <w:tab w:val="num" w:pos="82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1545" w:hanging="525"/>
        <w:tabs>
          <w:tab w:val="num" w:pos="1545" w:leader="none"/>
        </w:tabs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00" w:hanging="180"/>
        <w:tabs>
          <w:tab w:val="num" w:pos="21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20" w:hanging="360"/>
        <w:tabs>
          <w:tab w:val="num" w:pos="28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40" w:hanging="360"/>
        <w:tabs>
          <w:tab w:val="num" w:pos="35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60" w:hanging="180"/>
        <w:tabs>
          <w:tab w:val="num" w:pos="42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80" w:hanging="360"/>
        <w:tabs>
          <w:tab w:val="num" w:pos="49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00" w:hanging="360"/>
        <w:tabs>
          <w:tab w:val="num" w:pos="57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20" w:hanging="180"/>
        <w:tabs>
          <w:tab w:val="num" w:pos="642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Title Char"/>
    <w:basedOn w:val="684"/>
    <w:link w:val="701"/>
    <w:uiPriority w:val="10"/>
    <w:rPr>
      <w:sz w:val="48"/>
      <w:szCs w:val="48"/>
    </w:rPr>
  </w:style>
  <w:style w:type="character" w:styleId="675">
    <w:name w:val="Subtitle Char"/>
    <w:basedOn w:val="684"/>
    <w:link w:val="703"/>
    <w:uiPriority w:val="11"/>
    <w:rPr>
      <w:sz w:val="24"/>
      <w:szCs w:val="24"/>
    </w:rPr>
  </w:style>
  <w:style w:type="character" w:styleId="676">
    <w:name w:val="Quote Char"/>
    <w:link w:val="705"/>
    <w:uiPriority w:val="29"/>
    <w:rPr>
      <w:i/>
    </w:rPr>
  </w:style>
  <w:style w:type="character" w:styleId="677">
    <w:name w:val="Intense Quote Char"/>
    <w:link w:val="707"/>
    <w:uiPriority w:val="30"/>
    <w:rPr>
      <w:i/>
    </w:rPr>
  </w:style>
  <w:style w:type="character" w:styleId="678">
    <w:name w:val="Footnote Text Char"/>
    <w:link w:val="840"/>
    <w:uiPriority w:val="99"/>
    <w:rPr>
      <w:sz w:val="18"/>
    </w:rPr>
  </w:style>
  <w:style w:type="character" w:styleId="679">
    <w:name w:val="Endnote Text Char"/>
    <w:link w:val="843"/>
    <w:uiPriority w:val="99"/>
    <w:rPr>
      <w:sz w:val="20"/>
    </w:rPr>
  </w:style>
  <w:style w:type="paragraph" w:styleId="680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81">
    <w:name w:val="Heading 1"/>
    <w:basedOn w:val="680"/>
    <w:next w:val="680"/>
    <w:qFormat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682">
    <w:name w:val="Heading 3"/>
    <w:basedOn w:val="680"/>
    <w:next w:val="680"/>
    <w:qFormat/>
    <w:pPr>
      <w:keepNext/>
      <w:spacing w:after="0" w:line="240" w:lineRule="auto"/>
      <w:outlineLvl w:val="2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683">
    <w:name w:val="Heading 4"/>
    <w:basedOn w:val="680"/>
    <w:next w:val="680"/>
    <w:qFormat/>
    <w:pPr>
      <w:jc w:val="center"/>
      <w:keepNext/>
      <w:spacing w:after="0" w:line="240" w:lineRule="auto"/>
      <w:outlineLvl w:val="3"/>
    </w:pPr>
    <w:rPr>
      <w:rFonts w:ascii="Times New Roman" w:hAnsi="Times New Roman"/>
      <w:sz w:val="28"/>
      <w:szCs w:val="24"/>
      <w:lang w:eastAsia="ru-RU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basedOn w:val="684"/>
    <w:link w:val="857"/>
    <w:uiPriority w:val="9"/>
    <w:rPr>
      <w:rFonts w:ascii="Arial" w:hAnsi="Arial" w:cs="Arial" w:eastAsia="Arial"/>
      <w:sz w:val="40"/>
      <w:szCs w:val="40"/>
    </w:rPr>
  </w:style>
  <w:style w:type="character" w:styleId="688" w:customStyle="1">
    <w:name w:val="Heading 2 Char"/>
    <w:basedOn w:val="684"/>
    <w:link w:val="858"/>
    <w:uiPriority w:val="9"/>
    <w:rPr>
      <w:rFonts w:ascii="Arial" w:hAnsi="Arial" w:cs="Arial" w:eastAsia="Arial"/>
      <w:sz w:val="34"/>
    </w:rPr>
  </w:style>
  <w:style w:type="character" w:styleId="689" w:customStyle="1">
    <w:name w:val="Heading 3 Char"/>
    <w:basedOn w:val="684"/>
    <w:link w:val="859"/>
    <w:uiPriority w:val="9"/>
    <w:rPr>
      <w:rFonts w:ascii="Arial" w:hAnsi="Arial" w:cs="Arial" w:eastAsia="Arial"/>
      <w:sz w:val="30"/>
      <w:szCs w:val="30"/>
    </w:rPr>
  </w:style>
  <w:style w:type="character" w:styleId="690" w:customStyle="1">
    <w:name w:val="Heading 4 Char"/>
    <w:basedOn w:val="684"/>
    <w:link w:val="860"/>
    <w:uiPriority w:val="9"/>
    <w:rPr>
      <w:rFonts w:ascii="Arial" w:hAnsi="Arial" w:cs="Arial" w:eastAsia="Arial"/>
      <w:b/>
      <w:bCs/>
      <w:sz w:val="26"/>
      <w:szCs w:val="26"/>
    </w:rPr>
  </w:style>
  <w:style w:type="paragraph" w:styleId="691" w:customStyle="1">
    <w:name w:val="Heading 5"/>
    <w:basedOn w:val="680"/>
    <w:next w:val="680"/>
    <w:link w:val="692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92" w:customStyle="1">
    <w:name w:val="Heading 5 Char"/>
    <w:basedOn w:val="684"/>
    <w:link w:val="691"/>
    <w:uiPriority w:val="9"/>
    <w:rPr>
      <w:rFonts w:ascii="Arial" w:hAnsi="Arial" w:cs="Arial" w:eastAsia="Arial"/>
      <w:b/>
      <w:bCs/>
      <w:sz w:val="24"/>
      <w:szCs w:val="24"/>
    </w:rPr>
  </w:style>
  <w:style w:type="paragraph" w:styleId="693" w:customStyle="1">
    <w:name w:val="Heading 6"/>
    <w:basedOn w:val="680"/>
    <w:next w:val="680"/>
    <w:link w:val="694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character" w:styleId="694" w:customStyle="1">
    <w:name w:val="Heading 6 Char"/>
    <w:basedOn w:val="684"/>
    <w:link w:val="693"/>
    <w:uiPriority w:val="9"/>
    <w:rPr>
      <w:rFonts w:ascii="Arial" w:hAnsi="Arial" w:cs="Arial" w:eastAsia="Arial"/>
      <w:b/>
      <w:bCs/>
      <w:sz w:val="22"/>
      <w:szCs w:val="22"/>
    </w:rPr>
  </w:style>
  <w:style w:type="paragraph" w:styleId="695" w:customStyle="1">
    <w:name w:val="Heading 7"/>
    <w:basedOn w:val="680"/>
    <w:next w:val="680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character" w:styleId="696" w:customStyle="1">
    <w:name w:val="Heading 7 Char"/>
    <w:basedOn w:val="684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7" w:customStyle="1">
    <w:name w:val="Heading 8"/>
    <w:basedOn w:val="680"/>
    <w:next w:val="680"/>
    <w:link w:val="698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character" w:styleId="698" w:customStyle="1">
    <w:name w:val="Heading 8 Char"/>
    <w:basedOn w:val="684"/>
    <w:link w:val="697"/>
    <w:uiPriority w:val="9"/>
    <w:rPr>
      <w:rFonts w:ascii="Arial" w:hAnsi="Arial" w:cs="Arial" w:eastAsia="Arial"/>
      <w:i/>
      <w:iCs/>
      <w:sz w:val="22"/>
      <w:szCs w:val="22"/>
    </w:rPr>
  </w:style>
  <w:style w:type="paragraph" w:styleId="699" w:customStyle="1">
    <w:name w:val="Heading 9"/>
    <w:basedOn w:val="680"/>
    <w:next w:val="680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0" w:customStyle="1">
    <w:name w:val="Heading 9 Char"/>
    <w:basedOn w:val="684"/>
    <w:link w:val="699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Title"/>
    <w:basedOn w:val="680"/>
    <w:next w:val="680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Название Знак"/>
    <w:basedOn w:val="684"/>
    <w:link w:val="701"/>
    <w:uiPriority w:val="10"/>
    <w:rPr>
      <w:sz w:val="48"/>
      <w:szCs w:val="48"/>
    </w:rPr>
  </w:style>
  <w:style w:type="paragraph" w:styleId="703">
    <w:name w:val="Subtitle"/>
    <w:basedOn w:val="680"/>
    <w:next w:val="680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basedOn w:val="684"/>
    <w:link w:val="703"/>
    <w:uiPriority w:val="11"/>
    <w:rPr>
      <w:sz w:val="24"/>
      <w:szCs w:val="24"/>
    </w:rPr>
  </w:style>
  <w:style w:type="paragraph" w:styleId="705">
    <w:name w:val="Quote"/>
    <w:basedOn w:val="680"/>
    <w:next w:val="680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80"/>
    <w:next w:val="680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character" w:styleId="709" w:customStyle="1">
    <w:name w:val="Header Char"/>
    <w:basedOn w:val="684"/>
    <w:link w:val="865"/>
    <w:uiPriority w:val="99"/>
  </w:style>
  <w:style w:type="character" w:styleId="710" w:customStyle="1">
    <w:name w:val="Footer Char"/>
    <w:basedOn w:val="684"/>
    <w:link w:val="867"/>
    <w:uiPriority w:val="99"/>
  </w:style>
  <w:style w:type="paragraph" w:styleId="711" w:customStyle="1">
    <w:name w:val="Caption"/>
    <w:basedOn w:val="680"/>
    <w:next w:val="68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2" w:customStyle="1">
    <w:name w:val="Caption Char"/>
    <w:link w:val="867"/>
    <w:uiPriority w:val="99"/>
  </w:style>
  <w:style w:type="table" w:styleId="713">
    <w:name w:val="Table Grid"/>
    <w:basedOn w:val="68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Table Grid Light"/>
    <w:basedOn w:val="68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Plain Table 1"/>
    <w:basedOn w:val="685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2"/>
    <w:basedOn w:val="685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3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 w:customStyle="1">
    <w:name w:val="Plain Table 4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Plain Table 5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1 Light"/>
    <w:basedOn w:val="685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8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8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8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8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8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8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2"/>
    <w:basedOn w:val="68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8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8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8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8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8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8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"/>
    <w:basedOn w:val="685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85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8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8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8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8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85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4"/>
    <w:basedOn w:val="685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85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3" w:customStyle="1">
    <w:name w:val="Grid Table 4 - Accent 2"/>
    <w:basedOn w:val="685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4" w:customStyle="1">
    <w:name w:val="Grid Table 4 - Accent 3"/>
    <w:basedOn w:val="685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5" w:customStyle="1">
    <w:name w:val="Grid Table 4 - Accent 4"/>
    <w:basedOn w:val="685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6" w:customStyle="1">
    <w:name w:val="Grid Table 4 - Accent 5"/>
    <w:basedOn w:val="68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7" w:customStyle="1">
    <w:name w:val="Grid Table 4 - Accent 6"/>
    <w:basedOn w:val="685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8" w:customStyle="1">
    <w:name w:val="Grid Table 5 Dark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8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6 Colorful"/>
    <w:basedOn w:val="68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85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7" w:customStyle="1">
    <w:name w:val="Grid Table 6 Colorful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8" w:customStyle="1">
    <w:name w:val="Grid Table 6 Colorful - Accent 3"/>
    <w:basedOn w:val="685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9" w:customStyle="1">
    <w:name w:val="Grid Table 6 Colorful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0" w:customStyle="1">
    <w:name w:val="Grid Table 6 Colorful - Accent 5"/>
    <w:basedOn w:val="68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6 Colorful - Accent 6"/>
    <w:basedOn w:val="685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7 Colorful"/>
    <w:basedOn w:val="685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 w:customStyle="1">
    <w:name w:val="Grid Table 7 Colorful - Accent 1"/>
    <w:basedOn w:val="685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4" w:customStyle="1">
    <w:name w:val="Grid Table 7 Colorful - Accent 2"/>
    <w:basedOn w:val="685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3"/>
    <w:basedOn w:val="685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4"/>
    <w:basedOn w:val="685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5"/>
    <w:basedOn w:val="68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6"/>
    <w:basedOn w:val="685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List Table 1 Light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8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2"/>
    <w:basedOn w:val="685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8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8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8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8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8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8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3" w:customStyle="1">
    <w:name w:val="List Table 3"/>
    <w:basedOn w:val="68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8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8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8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8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"/>
    <w:basedOn w:val="685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85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85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85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85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8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85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5 Dark"/>
    <w:basedOn w:val="68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85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8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8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8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6 Colorful"/>
    <w:basedOn w:val="685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85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6" w:customStyle="1">
    <w:name w:val="List Table 6 Colorful - Accent 2"/>
    <w:basedOn w:val="685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List Table 6 Colorful - Accent 3"/>
    <w:basedOn w:val="685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8" w:customStyle="1">
    <w:name w:val="List Table 6 Colorful - Accent 4"/>
    <w:basedOn w:val="685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List Table 6 Colorful - Accent 5"/>
    <w:basedOn w:val="68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0" w:customStyle="1">
    <w:name w:val="List Table 6 Colorful - Accent 6"/>
    <w:basedOn w:val="685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1" w:customStyle="1">
    <w:name w:val="List Table 7 Colorful"/>
    <w:basedOn w:val="685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st Table 7 Colorful - Accent 1"/>
    <w:basedOn w:val="685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List Table 7 Colorful - Accent 2"/>
    <w:basedOn w:val="685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3"/>
    <w:basedOn w:val="685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4"/>
    <w:basedOn w:val="685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5"/>
    <w:basedOn w:val="68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6"/>
    <w:basedOn w:val="685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ned - Accent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Lined - Accent 2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Lined - Accent 3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Lined - Accent 4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Lined - Accent 5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Lined - Accent 6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 &amp; Lined - Accent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Bordered &amp; Lined - Accent 2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Bordered &amp; Lined - Accent 3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Bordered &amp; Lined - Accent 4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Bordered &amp; Lined - Accent 5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Bordered &amp; Lined - Accent 6"/>
    <w:basedOn w:val="68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"/>
    <w:basedOn w:val="685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85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4" w:customStyle="1">
    <w:name w:val="Bordered - Accent 2"/>
    <w:basedOn w:val="685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5" w:customStyle="1">
    <w:name w:val="Bordered - Accent 3"/>
    <w:basedOn w:val="685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6" w:customStyle="1">
    <w:name w:val="Bordered - Accent 4"/>
    <w:basedOn w:val="685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7" w:customStyle="1">
    <w:name w:val="Bordered - Accent 5"/>
    <w:basedOn w:val="68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8" w:customStyle="1">
    <w:name w:val="Bordered - Accent 6"/>
    <w:basedOn w:val="685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680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basedOn w:val="684"/>
    <w:uiPriority w:val="99"/>
    <w:unhideWhenUsed/>
    <w:rPr>
      <w:vertAlign w:val="superscript"/>
    </w:rPr>
  </w:style>
  <w:style w:type="paragraph" w:styleId="843">
    <w:name w:val="endnote text"/>
    <w:basedOn w:val="680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basedOn w:val="684"/>
    <w:uiPriority w:val="99"/>
    <w:semiHidden/>
    <w:unhideWhenUsed/>
    <w:rPr>
      <w:vertAlign w:val="superscript"/>
    </w:rPr>
  </w:style>
  <w:style w:type="paragraph" w:styleId="846">
    <w:name w:val="toc 1"/>
    <w:basedOn w:val="680"/>
    <w:next w:val="680"/>
    <w:uiPriority w:val="39"/>
    <w:unhideWhenUsed/>
    <w:pPr>
      <w:spacing w:after="57"/>
    </w:pPr>
  </w:style>
  <w:style w:type="paragraph" w:styleId="847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48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49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0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1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2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3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4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80"/>
    <w:next w:val="680"/>
    <w:uiPriority w:val="99"/>
    <w:unhideWhenUsed/>
    <w:pPr>
      <w:spacing w:after="0"/>
    </w:pPr>
  </w:style>
  <w:style w:type="paragraph" w:styleId="857" w:customStyle="1">
    <w:name w:val="Heading 1"/>
    <w:basedOn w:val="680"/>
    <w:next w:val="680"/>
    <w:link w:val="86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58" w:customStyle="1">
    <w:name w:val="Heading 2"/>
    <w:basedOn w:val="680"/>
    <w:next w:val="680"/>
    <w:link w:val="862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59" w:customStyle="1">
    <w:name w:val="Heading 3"/>
    <w:basedOn w:val="680"/>
    <w:next w:val="680"/>
    <w:link w:val="863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60" w:customStyle="1">
    <w:name w:val="Heading 4"/>
    <w:basedOn w:val="680"/>
    <w:next w:val="680"/>
    <w:link w:val="877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61" w:customStyle="1">
    <w:name w:val="Заголовок 1 Знак"/>
    <w:basedOn w:val="684"/>
    <w:link w:val="857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62" w:customStyle="1">
    <w:name w:val="Заголовок 2 Знак"/>
    <w:basedOn w:val="684"/>
    <w:link w:val="858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63" w:customStyle="1">
    <w:name w:val="Заголовок 3 Знак"/>
    <w:basedOn w:val="684"/>
    <w:link w:val="85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64">
    <w:name w:val="No Spacing"/>
    <w:uiPriority w:val="1"/>
    <w:qFormat/>
    <w:rPr>
      <w:sz w:val="22"/>
      <w:szCs w:val="22"/>
    </w:rPr>
  </w:style>
  <w:style w:type="paragraph" w:styleId="865" w:customStyle="1">
    <w:name w:val="Header"/>
    <w:basedOn w:val="680"/>
    <w:link w:val="866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684"/>
    <w:link w:val="865"/>
    <w:uiPriority w:val="99"/>
    <w:rPr>
      <w:sz w:val="22"/>
      <w:szCs w:val="22"/>
    </w:rPr>
  </w:style>
  <w:style w:type="paragraph" w:styleId="867" w:customStyle="1">
    <w:name w:val="Footer"/>
    <w:basedOn w:val="680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684"/>
    <w:link w:val="867"/>
    <w:uiPriority w:val="99"/>
    <w:rPr>
      <w:sz w:val="22"/>
      <w:szCs w:val="22"/>
    </w:rPr>
  </w:style>
  <w:style w:type="paragraph" w:styleId="869">
    <w:name w:val="Body Text"/>
    <w:basedOn w:val="680"/>
    <w:link w:val="870"/>
    <w:semiHidden/>
    <w:pPr>
      <w:spacing w:after="0" w:line="240" w:lineRule="auto"/>
      <w:shd w:val="clear" w:color="auto" w:fill="ffffff"/>
    </w:pPr>
    <w:rPr>
      <w:rFonts w:ascii="Times New Roman" w:hAnsi="Times New Roman"/>
      <w:color w:val="000000"/>
      <w:sz w:val="28"/>
      <w:szCs w:val="14"/>
      <w:lang w:eastAsia="ru-RU"/>
    </w:rPr>
  </w:style>
  <w:style w:type="character" w:styleId="870" w:customStyle="1">
    <w:name w:val="Основной текст Знак"/>
    <w:basedOn w:val="684"/>
    <w:link w:val="869"/>
    <w:semiHidden/>
    <w:rPr>
      <w:rFonts w:ascii="Times New Roman" w:hAnsi="Times New Roman"/>
      <w:color w:val="000000"/>
      <w:sz w:val="28"/>
      <w:szCs w:val="14"/>
      <w:shd w:val="clear" w:color="auto" w:fill="ffffff"/>
      <w:lang w:eastAsia="ru-RU"/>
    </w:rPr>
  </w:style>
  <w:style w:type="paragraph" w:styleId="871">
    <w:name w:val="Body Text Indent"/>
    <w:basedOn w:val="680"/>
    <w:link w:val="872"/>
    <w:semiHidden/>
    <w:pPr>
      <w:ind w:firstLine="708"/>
      <w:jc w:val="both"/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872" w:customStyle="1">
    <w:name w:val="Основной текст с отступом Знак"/>
    <w:basedOn w:val="684"/>
    <w:link w:val="871"/>
    <w:semiHidden/>
    <w:rPr>
      <w:rFonts w:ascii="Times New Roman" w:hAnsi="Times New Roman"/>
      <w:sz w:val="28"/>
      <w:szCs w:val="24"/>
      <w:lang w:eastAsia="ru-RU"/>
    </w:rPr>
  </w:style>
  <w:style w:type="paragraph" w:styleId="873">
    <w:name w:val="Body Text 3"/>
    <w:basedOn w:val="680"/>
    <w:link w:val="874"/>
    <w:semiHidden/>
    <w:pPr>
      <w:jc w:val="both"/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874" w:customStyle="1">
    <w:name w:val="Основной текст 3 Знак"/>
    <w:basedOn w:val="684"/>
    <w:link w:val="873"/>
    <w:semiHidden/>
    <w:rPr>
      <w:rFonts w:ascii="Times New Roman" w:hAnsi="Times New Roman"/>
      <w:sz w:val="28"/>
      <w:szCs w:val="24"/>
      <w:lang w:eastAsia="ru-RU"/>
    </w:rPr>
  </w:style>
  <w:style w:type="paragraph" w:styleId="875">
    <w:name w:val="Balloon Text"/>
    <w:basedOn w:val="680"/>
    <w:link w:val="8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684"/>
    <w:link w:val="875"/>
    <w:uiPriority w:val="99"/>
    <w:semiHidden/>
    <w:rPr>
      <w:rFonts w:ascii="Tahoma" w:hAnsi="Tahoma" w:cs="Tahoma"/>
      <w:sz w:val="16"/>
      <w:szCs w:val="16"/>
    </w:rPr>
  </w:style>
  <w:style w:type="character" w:styleId="877" w:customStyle="1">
    <w:name w:val="Заголовок 4 Знак"/>
    <w:basedOn w:val="684"/>
    <w:link w:val="860"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</w:rPr>
  </w:style>
  <w:style w:type="paragraph" w:styleId="878">
    <w:name w:val="List Paragraph"/>
    <w:basedOn w:val="680"/>
    <w:uiPriority w:val="34"/>
    <w:qFormat/>
    <w:pPr>
      <w:contextualSpacing/>
      <w:ind w:left="720"/>
    </w:pPr>
  </w:style>
  <w:style w:type="paragraph" w:styleId="879">
    <w:name w:val="Header"/>
    <w:basedOn w:val="680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Верхний колонтитул Знак1"/>
    <w:basedOn w:val="684"/>
    <w:link w:val="879"/>
    <w:uiPriority w:val="99"/>
    <w:semiHidden/>
    <w:rPr>
      <w:sz w:val="22"/>
      <w:szCs w:val="22"/>
    </w:rPr>
  </w:style>
  <w:style w:type="paragraph" w:styleId="881">
    <w:name w:val="Footer"/>
    <w:basedOn w:val="680"/>
    <w:link w:val="88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Нижний колонтитул Знак1"/>
    <w:basedOn w:val="684"/>
    <w:link w:val="881"/>
    <w:uiPriority w:val="99"/>
    <w:semiHidden/>
    <w:rPr>
      <w:sz w:val="22"/>
      <w:szCs w:val="22"/>
    </w:rPr>
  </w:style>
  <w:style w:type="character" w:styleId="883" w:customStyle="1">
    <w:name w:val="Заголовок 1 Знак1"/>
    <w:basedOn w:val="684"/>
    <w:link w:val="68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84" w:customStyle="1">
    <w:name w:val="Заголовок 3 Знак1"/>
    <w:basedOn w:val="684"/>
    <w:link w:val="682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styleId="885" w:customStyle="1">
    <w:name w:val="Заголовок 4 Знак1"/>
    <w:basedOn w:val="684"/>
    <w:link w:val="683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A11D-DD68-48B3-B85B-33ABEB7A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38</cp:revision>
  <dcterms:created xsi:type="dcterms:W3CDTF">2021-02-25T13:04:00Z</dcterms:created>
  <dcterms:modified xsi:type="dcterms:W3CDTF">2024-05-24T10:43:51Z</dcterms:modified>
</cp:coreProperties>
</file>