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  <w:sz w:val="24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Канеловского сельского поселения Староминского района «О бюджете Канеловского сельского поселения Староминского района на 2026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Нарушены требования ст.184.2 БК РФ и другие нарушения.</w:t>
      </w:r>
      <w:r>
        <w:rPr>
          <w:rFonts w:ascii="Times New Roman" w:hAnsi="Times New Roman" w:cs="Times New Roman"/>
          <w:color w:val="000000"/>
          <w:sz w:val="24"/>
          <w:highlight w:val="none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Канеловского сельского поселения Староминского района.</w:t>
      </w:r>
      <w:r>
        <w:rPr>
          <w:rFonts w:ascii="Times New Roman" w:hAnsi="Times New Roman" w:cs="Times New Roman"/>
          <w:color w:val="000000"/>
          <w:sz w:val="24"/>
          <w:highlight w:val="none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2026-02-18T08:05:11Z</dcterms:modified>
</cp:coreProperties>
</file>