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заключений на проекты муниципальных программ администрации муниципального образования Староминский район».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Нарушения требований Порядка разработки, формирования, реализации и оценки эфф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ективности реализации муниципальных программ муниципального образования Староминский район, единичные случаи включения в муниципальные программы  мероприятий с соответствующим объемом финансирования без подтверждения обоснований для произведения расходов.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направлено в адрес главных распорядителей администрации муниципального образования Староминский район,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направивших в контрольно-счетную палату проекты муниципальных программ.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2026-02-18T07:55:37Z</dcterms:modified>
</cp:coreProperties>
</file>