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 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color w:val="FF0000"/>
        </w:rPr>
        <w:t xml:space="preserve"> </w:t>
      </w:r>
      <w:r/>
    </w:p>
    <w:p>
      <w:pPr>
        <w:shd w:val="clear" w:color="auto" w:fill="ffffff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-259715</wp:posOffset>
                </wp:positionV>
                <wp:extent cx="601345" cy="754380"/>
                <wp:effectExtent l="19050" t="0" r="8255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1345" cy="754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217.3pt;mso-position-horizontal:absolute;mso-position-vertical-relative:text;margin-top:-20.4pt;mso-position-vertical:absolute;width:47.3pt;height:59.4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48"/>
        <w:jc w:val="center"/>
        <w:rPr>
          <w:rFonts w:ascii="Arial Narrow" w:hAnsi="Arial Narrow"/>
          <w:b/>
          <w:bCs/>
          <w:color w:val="FF0000"/>
          <w:szCs w:val="24"/>
        </w:rPr>
      </w:pPr>
      <w:r>
        <w:rPr>
          <w:rFonts w:ascii="Arial Narrow" w:hAnsi="Arial Narrow"/>
          <w:b/>
          <w:bCs/>
          <w:color w:val="FF0000"/>
          <w:szCs w:val="24"/>
        </w:rPr>
      </w:r>
      <w:r/>
    </w:p>
    <w:p>
      <w:pPr>
        <w:pStyle w:val="948"/>
        <w:jc w:val="center"/>
        <w:rPr>
          <w:rFonts w:ascii="Arial Narrow" w:hAnsi="Arial Narrow"/>
          <w:b/>
          <w:bCs/>
          <w:color w:val="FF0000"/>
          <w:sz w:val="36"/>
          <w:szCs w:val="24"/>
        </w:rPr>
      </w:pPr>
      <w:r>
        <w:rPr>
          <w:rFonts w:ascii="Arial Narrow" w:hAnsi="Arial Narrow"/>
          <w:b/>
          <w:bCs/>
          <w:color w:val="FF0000"/>
          <w:sz w:val="36"/>
          <w:szCs w:val="24"/>
        </w:rPr>
      </w:r>
      <w:r/>
    </w:p>
    <w:p>
      <w:pPr>
        <w:pStyle w:val="948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РАСПОРЯЖЕНИЕ</w:t>
      </w:r>
      <w:r/>
    </w:p>
    <w:p>
      <w:pPr>
        <w:pStyle w:val="948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948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948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948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948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28.12.2024_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               </w:t>
      </w:r>
      <w:r>
        <w:rPr>
          <w:color w:val="auto"/>
          <w:szCs w:val="28"/>
        </w:rPr>
        <w:t xml:space="preserve">                       </w:t>
      </w:r>
      <w:r>
        <w:rPr>
          <w:color w:val="auto"/>
          <w:szCs w:val="28"/>
        </w:rPr>
        <w:t xml:space="preserve">  № _</w:t>
      </w:r>
      <w:r>
        <w:rPr>
          <w:color w:val="auto"/>
          <w:szCs w:val="28"/>
        </w:rPr>
        <w:t xml:space="preserve">93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</w:t>
      </w:r>
      <w:r/>
    </w:p>
    <w:p>
      <w:pPr>
        <w:pStyle w:val="948"/>
        <w:jc w:val="center"/>
        <w:rPr>
          <w:color w:val="FF0000"/>
          <w:szCs w:val="28"/>
        </w:rPr>
      </w:pPr>
      <w:r>
        <w:rPr>
          <w:color w:val="FF0000"/>
          <w:szCs w:val="28"/>
        </w:rPr>
      </w:r>
      <w:r/>
    </w:p>
    <w:p>
      <w:pPr>
        <w:pStyle w:val="948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2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</w:t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11 Положения о контрольно-счетной палате муниципального образования Староминский район, утвержденного решением Совета муниципального образования Староминский район от 23.11.2011 №19/1: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  Распоряжение вступает в силу со дня его подписания.</w:t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</w:t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Е.Г.Дейнега</w:t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ПРИЛОЖЕНИЕ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  <w:t xml:space="preserve">     </w:t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          УТВЕРЖДЕН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распоряжением председателя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контрольно-счетной палаты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муниципального образования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    Староминский район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                                                                                            от _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28.12.2024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_№__93__</w:t>
      </w:r>
      <w:bookmarkStart w:id="0" w:name="_GoBack"/>
      <w:r>
        <w:rPr>
          <w:rFonts w:ascii="Times New Roman" w:hAnsi="Times New Roman" w:cs="Times New Roman" w:eastAsia="Times New Roman"/>
          <w:sz w:val="24"/>
        </w:rPr>
      </w:r>
      <w:bookmarkEnd w:id="0"/>
      <w:r>
        <w:rPr>
          <w:rFonts w:ascii="Times New Roman" w:hAnsi="Times New Roman" w:cs="Times New Roman" w:eastAsia="Times New Roman"/>
          <w:sz w:val="24"/>
          <w:szCs w:val="28"/>
        </w:rPr>
        <w:t xml:space="preserve">_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ПЛАН</w:t>
      </w:r>
      <w:r>
        <w:rPr>
          <w:sz w:val="28"/>
        </w:rPr>
      </w:r>
      <w:r/>
    </w:p>
    <w:p>
      <w:pPr>
        <w:pStyle w:val="950"/>
        <w:ind w:left="284"/>
        <w:jc w:val="center"/>
        <w:spacing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 год</w:t>
      </w:r>
      <w:r>
        <w:rPr>
          <w:sz w:val="28"/>
        </w:rPr>
      </w:r>
      <w:r/>
    </w:p>
    <w:p>
      <w:pPr>
        <w:pStyle w:val="950"/>
        <w:ind w:left="284"/>
        <w:jc w:val="center"/>
        <w:spacing w:after="0"/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50"/>
        <w:ind w:left="284"/>
        <w:jc w:val="center"/>
        <w:spacing w:after="0"/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99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3"/>
        <w:gridCol w:w="1843"/>
        <w:gridCol w:w="2245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/п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планируемых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Срок проведения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Основание для включения мероприятия в план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7"/>
              <w:numPr>
                <w:ilvl w:val="0"/>
                <w:numId w:val="48"/>
              </w:numPr>
              <w:jc w:val="both"/>
              <w:widowControl/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Контрольн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ые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Проверка соблюдения администрацией муниципального образования Стар</w:t>
            </w: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оминский район действующего законодательства при расходовании средств бюджета Краснодарского края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</w:t>
            </w:r>
            <w:r>
              <w:rPr>
                <w:rFonts w:ascii="Times New Roman" w:hAnsi="Times New Roman" w:cs="Times New Roman" w:eastAsia="Times New Roman"/>
                <w:lang w:val="ru-RU"/>
              </w:rPr>
              <w:t xml:space="preserve">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п.1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*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Проверка целевого использования иного межбюджетного трансферта, предоставленного из бюджета Краснодарского края, источником фин</w:t>
            </w:r>
            <w:r>
              <w:rPr>
                <w:rFonts w:ascii="Times New Roman" w:hAnsi="Times New Roman" w:cs="Times New Roman" w:eastAsia="Times New Roman"/>
              </w:rPr>
              <w:t xml:space="preserve">ансового обеспечения которого являются бюджетные ассигнования резервного фонда администрации Краснодарского края, бюджету муниципального образования Староминский район на финансовое обеспечение мероприятий по предоставлению единовременной материальной помо</w:t>
            </w:r>
            <w:r>
              <w:rPr>
                <w:rFonts w:ascii="Times New Roman" w:hAnsi="Times New Roman" w:cs="Times New Roman" w:eastAsia="Times New Roman"/>
              </w:rPr>
              <w:t xml:space="preserve">щи и финансовой помощи в связи с полной утратой имущества первой необходимости гражданам, пострадавшим в результате чрезвычайной ситуации муниципального характера, произошедшей на территории муниципального образования Староминский район 2 августа 2024 года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п.1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1.3.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Проверка целевого использования иного межбюджетного трансферта, предоставленного из бюджета Краснодарского края, источником финанс</w:t>
            </w:r>
            <w:r>
              <w:rPr>
                <w:rFonts w:ascii="Times New Roman" w:hAnsi="Times New Roman" w:cs="Times New Roman" w:eastAsia="Times New Roman"/>
              </w:rPr>
              <w:t xml:space="preserve">ового обеспечения которого являются бюджетные ассигнования резервного фонда администрации Краснодарского края, бюджету муниципального образования Староминский район на финансовое обеспечение мероприятия по предоставлению меры социальной поддержки в виде вы</w:t>
            </w:r>
            <w:r>
              <w:rPr>
                <w:rFonts w:ascii="Times New Roman" w:hAnsi="Times New Roman" w:cs="Times New Roman" w:eastAsia="Times New Roman"/>
              </w:rPr>
              <w:t xml:space="preserve">платы на приобретение жилых помещений гражданам Российской Федерации, жилые помещения которых утрачены в результате чрезвычайной ситуации муниципального характера, произошедшей на территории муниципального образования Староминский район 2 августа 2024 года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п.1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образования Староминский район контрольно-счетной палаты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образования Староминский район Совета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образования Староминский район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1.7.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образования Староминский район отдела культуры и искусства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образования Староминский район отдела по делам молодежи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образования Староминский район финансового управления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образования Староминский район управления образования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 в отношении главного администратора муниципального образования Староминский район отдела по физической культуре и спорту администрации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отчетности главных администраторов средств бюджета Куйбышевского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Внешняя проверка бюджетной отчетности главных администраторов средств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1-2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и ст.268.1 БК РФ, п.3, 5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*, Соглашение на передачу полномочий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1.17.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Проверка правомерности приобретения движимого имущества, в рамках соглашения от 19.04.2022 года            №И-11, его наличия и  эффективности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п.1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Проведение контрольных мероприятий на основании поручений прокуратуры Староминского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ind w:left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white"/>
                <w:lang w:val="en-US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8"/>
                <w:highlight w:val="white"/>
              </w:rPr>
              <w:t xml:space="preserve">. Экспертно-аналитические мероприятия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.1.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муниципального образования Староминский район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2.2.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Рассветовского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Канеловского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Куйбышевского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Староминского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годовой отчет об исполнении бюджета Новоясенского сельского поселения Староминского района за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ст.264.4 БК РФ, п.7, 8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2.7.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муниципального образования Староминский район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 и ее представление главе муниципального образования Староминский район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 2.8.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Канеловского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 и ее представление главе Канеловского сельского поселения Староминского района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Канеловского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2.9.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Рассветовского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 и ее представление главе Рассветовского сельского поселения Староминского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района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Рассветовского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2.10.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Новоясенского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 и ее представление главе Новоясенского сельского поселения Староминского района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Новоясенского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2.11.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Староминского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5года, первое полугодие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 и ее представление главе Староминского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и председателю Совета Староминского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2.12.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информации о ходе исполнения бюджета Куйбышевского сельского поселения Староминского района за 1 квартал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первое полугодие     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года, 9 месяцев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5 года и ее представление главе Куйбышевского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председателю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Совет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Куйбышевского сельского поселения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2,3,4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муниципального образования Староминский район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муниципального образования Староминский район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 год и на плановый период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7 и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8 годов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», проверка и анализ обоснованности его показателей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Канеловского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Канеловского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Рассветовского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Рассветовского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Куйбышевского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Куйбышевского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2.17.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Староминского сельского поселения Староминского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Староминского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Подготовка заключения на проект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решения Совета Новоясенского сельского поселения Староминского района «О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Новоясенского сельского поселения Староминского района на 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6 год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4 квартал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ч.1 ст.157 БК РФ, п.2, 8, 11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, Соглашение о передаче полномочий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2.19.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Проведение финансово-экономических экспертиз проектов муниципальных программ администрации муниципального образования Староминский район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и подготовка заключений по результатам экспертиз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 по мере поступления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п.7, 12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2.20.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Проведение финансово-экономических экспертиз проектов муниципальных программ администраций  Староминского, Куйбышевского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, Канеловского, Рассветовского, Новоясенского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 сельских поселений Староминского района и подготовка заключений по результатам экспертиз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п.7, 12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Анализ бюджетного процесса в Новоясенском сельском поселении Староминского района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п.8, п.10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2.22.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Оценка эффективности предоставления налоговых и иных льгот и преимуществ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none"/>
              </w:rPr>
              <w:t xml:space="preserve">в течение года по мере поступления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8"/>
                <w:highlight w:val="white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п.6 ч.2 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  <w:r/>
          </w:p>
        </w:tc>
        <w:tc>
          <w:tcPr>
            <w:tcW w:w="43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анализа исполнения порядка разработки и утверждения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 части направления проектов муниципальных программ в контрольно-счетную палату муниципального образования Староминский район для дальнейшего проведения финансово-экономических экспертиз муниципальных программ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квартал</w:t>
            </w:r>
            <w:r>
              <w:rPr>
                <w:sz w:val="24"/>
              </w:rPr>
            </w:r>
            <w:r/>
          </w:p>
        </w:tc>
        <w:tc>
          <w:tcPr>
            <w:tcW w:w="2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ст.9 Закона №6-ФЗ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gridSpan w:val="3"/>
            <w:tcW w:w="7053" w:type="dxa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</w:rPr>
              <w:t xml:space="preserve">Реализация материалов контрольных и экспертно-аналитических мероприятий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white"/>
                <w:lang w:val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3.1.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Внесение представлений и предписаний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ст.16 Закона №6-ФЗ, ст.270.2 БК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Осуществление производства по делам об административных правонарушениях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аб.5 п.2 ст.268.1 БК РФ, п.6,7 ст.12.2 Закона №608-КЗ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 принятием мер по устранению выявленных Палатой нарушений и недостатков, за исполнением уведомлений, представлений и предписаний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ст.16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, ст.270.2 БК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gridSpan w:val="3"/>
            <w:tcW w:w="7053" w:type="dxa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8"/>
                <w:highlight w:val="white"/>
              </w:rPr>
              <w:t xml:space="preserve">.Информационная и организационная деятельность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white"/>
                <w:lang w:val="en-US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Подготовка плана работы контрольно-счетной палаты на 202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6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квартал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ст.12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Заключение соглашений с поселениями, входящими в состав Староминского района, об исполнении обязанностей по внешнему муниципальному финансовому контролю на 202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6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квартал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п.3 ст.46 Устава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Учеба работников контрольно-счетной палаты на курсах повышения квалификации, проведение учебных занятий по повышению профессионального уровня сотрудников контрольно-счетной палаты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3-4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квартал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п.7 ч.1 ст.1101 Закона №25-ФЗ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Участие в работе Совета муниципального образования Староминский район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.5.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Участие в расширенных аппаратных совещаниях главы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.6.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Проведение рабочих совещаний контрольно-счетной палаты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ст.18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.7.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Подготовка и предоставление информации главе муниципального образования Староминский район и Совету муниципального образования Староминский район о результатах контрольных и экспертно-аналитических мероприятиях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Подготовка и размещение информации о работе контрольно-счетной палаты муниципального образования Староминский район на официальном сайте в информационно-телекоммуникационной сети Интернет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ст.14 Закона от 09.02.2009 №8-ФЗ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*, ст.19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.9.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0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Подготовка и представление информации глав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ам и Советам сельских поселений, входящих в состав муниципального образования Староминский район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 о результатах контрольных и экспертно-аналитических мероприятий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п.9 ч.2 ст.9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0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Подготовка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ежегодного отчета о деятельности контрольно-счетной палаты муниципального образования Староминский район в представительный орган муниципального образования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ст.19 Закона №6-ФЗ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0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Разработка номенклатуры дел контрольно-счетной палаты муниципального образования Староминский район на 202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6 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Приказ Росархива от 20.12.2019 №236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0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Ведение архива контрольно-счетной палаты муниципального образования Староминский район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ст.8 Федерального закона от 25.12.2004 №125-ФЗ «Об архивном деле в РФ»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0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Ведение кадровой работы в соответствии с требованиями законодательства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ст.28 Закона №25-ФЗ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*, ТК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0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Сопровождение государственной информационной системы о государственных и муниципальных платежах (ГИС ГМП)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п.2 ст.160.1 БК РФ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none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393" w:type="dxa"/>
            <w:textDirection w:val="lrTb"/>
            <w:noWrap w:val="false"/>
          </w:tcPr>
          <w:p>
            <w:pPr>
              <w:pStyle w:val="950"/>
              <w:ind w:left="0"/>
              <w:jc w:val="both"/>
              <w:spacing w:after="0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Сопровождение и ведение Единой информационной системы в сфере закупок (ЕИС)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4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8"/>
                <w:highlight w:val="white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Закон №44-ФЗ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950"/>
        <w:ind w:left="284"/>
        <w:jc w:val="center"/>
        <w:spacing w:after="0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r>
      <w:r>
        <w:rPr>
          <w:color w:val="FF0000"/>
        </w:rPr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FF0000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highlight w:val="none"/>
        </w:rPr>
        <w:t xml:space="preserve">*Контрольные и экспертно-аналитические мероприятия 2024 года (предусмотренные планом работы контрольно-счетной палаты муниципального образования Староминский район на 2024 год), плановый срок завершения которых наступает в 2025 году:</w:t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highlight w:val="none"/>
        </w:rPr>
        <w:t xml:space="preserve">- проверка правильности начислени</w:t>
      </w:r>
      <w:r>
        <w:rPr>
          <w:rFonts w:ascii="Times New Roman" w:hAnsi="Times New Roman" w:cs="Times New Roman" w:eastAsia="Times New Roman"/>
          <w:color w:val="000000" w:themeColor="text1"/>
          <w:highlight w:val="none"/>
        </w:rPr>
        <w:t xml:space="preserve">я и отражения в отчетности дебиторской задолженности по доходам от использования имущества, находящегося в муниципальной собственности муниципального образования Староминский район и принимаемых мерах по снижению сумм просроченной дебиторской задолженности</w:t>
      </w:r>
      <w:r>
        <w:rPr>
          <w:rFonts w:ascii="Times New Roman" w:hAnsi="Times New Roman" w:cs="Times New Roman"/>
          <w:color w:val="000000" w:themeColor="text1"/>
          <w:sz w:val="24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Cs w:val="16"/>
          <w:highlight w:val="white"/>
        </w:rPr>
      </w:pPr>
      <w:r>
        <w:rPr>
          <w:rFonts w:ascii="Times New Roman" w:hAnsi="Times New Roman" w:cs="Times New Roman" w:eastAsia="Times New Roman"/>
          <w:bCs/>
          <w:color w:val="FF0000"/>
          <w:sz w:val="16"/>
          <w:szCs w:val="16"/>
          <w:highlight w:val="white"/>
        </w:rPr>
        <w:t xml:space="preserve"> </w:t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  <w:highlight w:val="white"/>
        </w:rPr>
        <w:t xml:space="preserve">*Федеральный закон от 7 февраля 2011г.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  <w:r>
        <w:rPr>
          <w:highlight w:val="white"/>
        </w:rPr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*Закон Краснодарского края от 23 июля 2003 года №608-КЗ «Об административных правонарушениях»;</w:t>
      </w:r>
      <w:r>
        <w:rPr>
          <w:highlight w:val="white"/>
        </w:rPr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*Федеральный закон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highlight w:val="white"/>
        </w:rPr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white"/>
        </w:rPr>
        <w:t xml:space="preserve">*Федеральный закон от 2 марта 2007 года №25-ФЗ « О муниципальной службе в Российской Федерации»;</w:t>
      </w:r>
      <w:r>
        <w:rPr>
          <w:highlight w:val="white"/>
        </w:rPr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white"/>
        </w:rPr>
        <w:t xml:space="preserve">*Федеральный закон от 9 февраля 2009 года №8-ФЗ «Об обеспечении доступа к информации о деятельности государственных органов и органов местного самоуправления»; </w:t>
      </w:r>
      <w:r>
        <w:rPr>
          <w:highlight w:val="white"/>
        </w:rPr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000000"/>
          <w:sz w:val="24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white"/>
        </w:rPr>
        <w:t xml:space="preserve">*Приказ Федерального ар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16"/>
          <w:highlight w:val="white"/>
        </w:rPr>
        <w:t xml:space="preserve">хивного агентства от 20 декабря 2019 года №236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  <w:r>
        <w:rPr>
          <w:highlight w:val="white"/>
        </w:rPr>
      </w:r>
      <w:r/>
    </w:p>
    <w:p>
      <w:pPr>
        <w:pStyle w:val="950"/>
        <w:ind w:left="284" w:firstLine="424"/>
        <w:jc w:val="both"/>
        <w:spacing w:after="0"/>
        <w:rPr>
          <w:rFonts w:ascii="Times New Roman" w:hAnsi="Times New Roman" w:cs="Times New Roman" w:eastAsia="Times New Roman"/>
          <w:color w:val="FF0000"/>
          <w:sz w:val="28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FF0000"/>
          <w:sz w:val="28"/>
          <w:highlight w:val="white"/>
        </w:rPr>
      </w:r>
      <w:r>
        <w:rPr>
          <w:highlight w:val="white"/>
        </w:rPr>
      </w:r>
      <w:r/>
    </w:p>
    <w:p>
      <w:pPr>
        <w:pStyle w:val="950"/>
        <w:jc w:val="both"/>
        <w:spacing w:after="0"/>
        <w:rPr>
          <w:rFonts w:ascii="Times New Roman" w:hAnsi="Times New Roman" w:cs="Times New Roman" w:eastAsia="Times New Roman"/>
          <w:color w:val="FF0000"/>
          <w:sz w:val="16"/>
          <w:szCs w:val="16"/>
          <w:highlight w:val="yellow"/>
        </w:rPr>
      </w:pPr>
      <w:r>
        <w:rPr>
          <w:rFonts w:ascii="Times New Roman" w:hAnsi="Times New Roman" w:cs="Times New Roman" w:eastAsia="Times New Roman"/>
          <w:color w:val="FF0000"/>
          <w:sz w:val="16"/>
          <w:szCs w:val="16"/>
          <w:highlight w:val="yellow"/>
        </w:rPr>
      </w:r>
      <w:r>
        <w:rPr>
          <w:highlight w:val="yellow"/>
        </w:rPr>
      </w:r>
      <w:r/>
    </w:p>
    <w:p>
      <w:pPr>
        <w:pStyle w:val="950"/>
        <w:jc w:val="both"/>
        <w:spacing w:after="0"/>
        <w:rPr>
          <w:rFonts w:ascii="Times New Roman" w:hAnsi="Times New Roman" w:cs="Times New Roman" w:eastAsia="Times New Roman"/>
          <w:color w:val="FF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color w:val="FF0000"/>
          <w:sz w:val="16"/>
          <w:szCs w:val="16"/>
          <w:highlight w:val="white"/>
        </w:rPr>
      </w:r>
      <w:r>
        <w:rPr>
          <w:color w:val="FF0000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FF0000"/>
          <w:sz w:val="16"/>
          <w:szCs w:val="16"/>
          <w:highlight w:val="white"/>
        </w:rPr>
      </w:pPr>
      <w:r>
        <w:rPr>
          <w:rFonts w:ascii="Times New Roman" w:hAnsi="Times New Roman" w:cs="Times New Roman" w:eastAsia="Times New Roman"/>
          <w:bCs/>
          <w:color w:val="FF0000"/>
          <w:sz w:val="16"/>
          <w:szCs w:val="16"/>
          <w:highlight w:val="white"/>
        </w:rPr>
      </w:r>
      <w:r>
        <w:rPr>
          <w:color w:val="FF0000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Заместитель председателя</w:t>
      </w:r>
      <w:r>
        <w:rPr>
          <w:color w:val="000000" w:themeColor="text1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контрольно-счетной палаты</w:t>
      </w:r>
      <w:r>
        <w:rPr>
          <w:color w:val="000000" w:themeColor="text1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муниципального образования</w:t>
      </w:r>
      <w:r>
        <w:rPr>
          <w:color w:val="000000" w:themeColor="text1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bCs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Староминский район                                                                    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Н.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.Кон</w:t>
      </w:r>
      <w:r>
        <w:rPr>
          <w:rFonts w:ascii="Times New Roman" w:hAnsi="Times New Roman" w:cs="Times New Roman" w:eastAsia="Times New Roman"/>
          <w:bCs/>
          <w:color w:val="000000" w:themeColor="text1"/>
          <w:sz w:val="24"/>
          <w:szCs w:val="28"/>
          <w:highlight w:val="white"/>
        </w:rPr>
        <w:t xml:space="preserve">оненко</w:t>
      </w:r>
      <w:r>
        <w:rPr>
          <w:color w:val="000000" w:themeColor="text1"/>
          <w:sz w:val="24"/>
        </w:rPr>
      </w:r>
      <w:r/>
    </w:p>
    <w:p>
      <w:pPr>
        <w:pStyle w:val="950"/>
        <w:ind w:left="284"/>
        <w:jc w:val="both"/>
        <w:spacing w:after="0"/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FF0000"/>
          <w:sz w:val="28"/>
          <w:szCs w:val="28"/>
          <w:highlight w:val="none"/>
        </w:rPr>
      </w:r>
      <w:r>
        <w:rPr>
          <w:color w:val="FF0000"/>
        </w:rPr>
      </w:r>
      <w:r/>
    </w:p>
    <w:sectPr>
      <w:headerReference w:type="default" r:id="rId9"/>
      <w:footnotePr/>
      <w:endnotePr/>
      <w:type w:val="nextPage"/>
      <w:pgSz w:w="11904" w:h="16834" w:orient="portrait"/>
      <w:pgMar w:top="1103" w:right="850" w:bottom="1440" w:left="1134" w:header="851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 Narrow">
    <w:panose1 w:val="020B06040202020202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04657"/>
      <w:docPartObj>
        <w:docPartGallery w:val="Page Numbers (Top of Page)"/>
        <w:docPartUnique w:val="true"/>
      </w:docPartObj>
      <w:rPr/>
    </w:sdtPr>
    <w:sdtContent>
      <w:p>
        <w:pPr>
          <w:pStyle w:val="95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106" w:firstLine="737"/>
        <w:tabs>
          <w:tab w:val="num" w:pos="2203" w:leader="none"/>
        </w:tabs>
      </w:pPr>
      <w:rPr>
        <w:rFonts w:ascii="Wingdings" w:hAnsi="Wingdings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2574" w:hanging="360"/>
        <w:tabs>
          <w:tab w:val="num" w:pos="2574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  <w:tabs>
          <w:tab w:val="num" w:pos="329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  <w:tabs>
          <w:tab w:val="num" w:pos="401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  <w:tabs>
          <w:tab w:val="num" w:pos="473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  <w:tabs>
          <w:tab w:val="num" w:pos="545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  <w:tabs>
          <w:tab w:val="num" w:pos="617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  <w:tabs>
          <w:tab w:val="num" w:pos="689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  <w:tabs>
          <w:tab w:val="num" w:pos="7614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6.10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0" w:firstLine="907"/>
        <w:tabs>
          <w:tab w:val="num" w:pos="179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-158" w:firstLine="1058"/>
        <w:tabs>
          <w:tab w:val="num" w:pos="1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7.2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9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4" w:firstLine="709"/>
        <w:tabs>
          <w:tab w:val="num" w:pos="220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10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0" w:hanging="720"/>
        <w:tabs>
          <w:tab w:val="num" w:pos="270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  <w:tabs>
          <w:tab w:val="num" w:pos="46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020" w:hanging="1080"/>
        <w:tabs>
          <w:tab w:val="num" w:pos="70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000" w:hanging="1080"/>
        <w:tabs>
          <w:tab w:val="num" w:pos="90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40" w:hanging="1440"/>
        <w:tabs>
          <w:tab w:val="num" w:pos="113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3680" w:hanging="1800"/>
        <w:tabs>
          <w:tab w:val="num" w:pos="13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660" w:hanging="1800"/>
        <w:tabs>
          <w:tab w:val="num" w:pos="156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0" w:hanging="2160"/>
        <w:tabs>
          <w:tab w:val="num" w:pos="180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4" w:firstLine="709"/>
        <w:tabs>
          <w:tab w:val="num" w:pos="220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  <w:tabs>
          <w:tab w:val="num" w:pos="2574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  <w:tabs>
          <w:tab w:val="num" w:pos="329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  <w:tabs>
          <w:tab w:val="num" w:pos="401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  <w:tabs>
          <w:tab w:val="num" w:pos="473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  <w:tabs>
          <w:tab w:val="num" w:pos="545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  <w:tabs>
          <w:tab w:val="num" w:pos="617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  <w:tabs>
          <w:tab w:val="num" w:pos="689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  <w:tabs>
          <w:tab w:val="num" w:pos="7614" w:leader="none"/>
        </w:tabs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09" w:firstLine="737"/>
        <w:tabs>
          <w:tab w:val="num" w:pos="1806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22" w:firstLine="1058"/>
        <w:tabs>
          <w:tab w:val="num" w:pos="37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none"/>
      <w:isLgl w:val="false"/>
      <w:suff w:val="tab"/>
      <w:lvlText w:val="3."/>
      <w:lvlJc w:val="left"/>
      <w:pPr>
        <w:ind w:left="0" w:firstLine="397"/>
        <w:tabs>
          <w:tab w:val="num" w:pos="7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0" w:firstLine="57"/>
        <w:tabs>
          <w:tab w:val="num" w:pos="77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6.12.%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7.2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11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42" w:firstLine="1058"/>
        <w:tabs>
          <w:tab w:val="num" w:pos="1091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6.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6.9.%4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1">
    <w:multiLevelType w:val="hybridMultilevel"/>
    <w:lvl w:ilvl="0">
      <w:start w:val="13"/>
      <w:numFmt w:val="decimal"/>
      <w:isLgl w:val="false"/>
      <w:suff w:val="tab"/>
      <w:lvlText w:val="16.%1."/>
      <w:lvlJc w:val="left"/>
      <w:pPr>
        <w:ind w:left="1091" w:firstLine="709"/>
        <w:tabs>
          <w:tab w:val="num" w:pos="123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1210"/>
        <w:tabs>
          <w:tab w:val="num" w:pos="12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30" w:hanging="1210"/>
        <w:tabs>
          <w:tab w:val="num" w:pos="19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50" w:hanging="1210"/>
        <w:tabs>
          <w:tab w:val="num" w:pos="26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0" w:hanging="1210"/>
        <w:tabs>
          <w:tab w:val="num" w:pos="33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0" w:hanging="1210"/>
        <w:tabs>
          <w:tab w:val="num" w:pos="40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0" w:firstLine="907"/>
        <w:tabs>
          <w:tab w:val="num" w:pos="179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  <w:tabs>
          <w:tab w:val="num" w:pos="177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  <w:tabs>
          <w:tab w:val="num" w:pos="249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  <w:tabs>
          <w:tab w:val="num" w:pos="3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  <w:tabs>
          <w:tab w:val="num" w:pos="393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  <w:tabs>
          <w:tab w:val="num" w:pos="465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  <w:tabs>
          <w:tab w:val="num" w:pos="5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  <w:tabs>
          <w:tab w:val="num" w:pos="609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  <w:tabs>
          <w:tab w:val="num" w:pos="681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  <w:tabs>
          <w:tab w:val="num" w:pos="7538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3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433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153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593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313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753" w:hanging="360"/>
      </w:pPr>
      <w:rPr>
        <w:rFonts w:ascii="Wingdings" w:hAnsi="Wingdings" w:cs="Wingdings" w:eastAsia="Wingdings" w:hint="default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42"/>
  </w:num>
  <w:num w:numId="2">
    <w:abstractNumId w:val="16"/>
  </w:num>
  <w:num w:numId="3">
    <w:abstractNumId w:val="28"/>
  </w:num>
  <w:num w:numId="4">
    <w:abstractNumId w:val="3"/>
  </w:num>
  <w:num w:numId="5">
    <w:abstractNumId w:val="30"/>
  </w:num>
  <w:num w:numId="6">
    <w:abstractNumId w:val="22"/>
  </w:num>
  <w:num w:numId="7">
    <w:abstractNumId w:val="29"/>
  </w:num>
  <w:num w:numId="8">
    <w:abstractNumId w:val="34"/>
  </w:num>
  <w:num w:numId="9">
    <w:abstractNumId w:val="46"/>
  </w:num>
  <w:num w:numId="10">
    <w:abstractNumId w:val="27"/>
  </w:num>
  <w:num w:numId="11">
    <w:abstractNumId w:val="47"/>
  </w:num>
  <w:num w:numId="12">
    <w:abstractNumId w:val="10"/>
  </w:num>
  <w:num w:numId="13">
    <w:abstractNumId w:val="13"/>
  </w:num>
  <w:num w:numId="14">
    <w:abstractNumId w:val="6"/>
  </w:num>
  <w:num w:numId="15">
    <w:abstractNumId w:val="43"/>
  </w:num>
  <w:num w:numId="16">
    <w:abstractNumId w:val="25"/>
  </w:num>
  <w:num w:numId="17">
    <w:abstractNumId w:val="12"/>
  </w:num>
  <w:num w:numId="18">
    <w:abstractNumId w:val="17"/>
  </w:num>
  <w:num w:numId="19">
    <w:abstractNumId w:val="32"/>
  </w:num>
  <w:num w:numId="20">
    <w:abstractNumId w:val="1"/>
  </w:num>
  <w:num w:numId="21">
    <w:abstractNumId w:val="21"/>
  </w:num>
  <w:num w:numId="22">
    <w:abstractNumId w:val="20"/>
  </w:num>
  <w:num w:numId="23">
    <w:abstractNumId w:val="31"/>
  </w:num>
  <w:num w:numId="24">
    <w:abstractNumId w:val="5"/>
  </w:num>
  <w:num w:numId="25">
    <w:abstractNumId w:val="7"/>
  </w:num>
  <w:num w:numId="26">
    <w:abstractNumId w:val="8"/>
  </w:num>
  <w:num w:numId="27">
    <w:abstractNumId w:val="41"/>
  </w:num>
  <w:num w:numId="28">
    <w:abstractNumId w:val="35"/>
  </w:num>
  <w:num w:numId="29">
    <w:abstractNumId w:val="19"/>
  </w:num>
  <w:num w:numId="30">
    <w:abstractNumId w:val="0"/>
  </w:num>
  <w:num w:numId="31">
    <w:abstractNumId w:val="4"/>
  </w:num>
  <w:num w:numId="32">
    <w:abstractNumId w:val="9"/>
  </w:num>
  <w:num w:numId="33">
    <w:abstractNumId w:val="2"/>
  </w:num>
  <w:num w:numId="34">
    <w:abstractNumId w:val="36"/>
  </w:num>
  <w:num w:numId="35">
    <w:abstractNumId w:val="15"/>
  </w:num>
  <w:num w:numId="36">
    <w:abstractNumId w:val="26"/>
  </w:num>
  <w:num w:numId="37">
    <w:abstractNumId w:val="38"/>
  </w:num>
  <w:num w:numId="38">
    <w:abstractNumId w:val="11"/>
  </w:num>
  <w:num w:numId="39">
    <w:abstractNumId w:val="14"/>
  </w:num>
  <w:num w:numId="40">
    <w:abstractNumId w:val="39"/>
  </w:num>
  <w:num w:numId="41">
    <w:abstractNumId w:val="24"/>
  </w:num>
  <w:num w:numId="42">
    <w:abstractNumId w:val="33"/>
  </w:num>
  <w:num w:numId="43">
    <w:abstractNumId w:val="23"/>
  </w:num>
  <w:num w:numId="44">
    <w:abstractNumId w:val="44"/>
  </w:num>
  <w:num w:numId="45">
    <w:abstractNumId w:val="37"/>
  </w:num>
  <w:num w:numId="46">
    <w:abstractNumId w:val="40"/>
  </w:num>
  <w:num w:numId="47">
    <w:abstractNumId w:val="45"/>
  </w:num>
  <w:num w:numId="48">
    <w:abstractNumId w:val="18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jc w:val="center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1 Char"/>
    <w:basedOn w:val="933"/>
    <w:link w:val="924"/>
    <w:uiPriority w:val="9"/>
    <w:rPr>
      <w:rFonts w:ascii="Arial" w:hAnsi="Arial" w:cs="Arial" w:eastAsia="Arial"/>
      <w:sz w:val="40"/>
      <w:szCs w:val="40"/>
    </w:rPr>
  </w:style>
  <w:style w:type="character" w:styleId="763">
    <w:name w:val="Heading 2 Char"/>
    <w:basedOn w:val="933"/>
    <w:link w:val="925"/>
    <w:uiPriority w:val="9"/>
    <w:rPr>
      <w:rFonts w:ascii="Arial" w:hAnsi="Arial" w:cs="Arial" w:eastAsia="Arial"/>
      <w:sz w:val="34"/>
    </w:rPr>
  </w:style>
  <w:style w:type="character" w:styleId="764">
    <w:name w:val="Heading 3 Char"/>
    <w:basedOn w:val="933"/>
    <w:link w:val="926"/>
    <w:uiPriority w:val="9"/>
    <w:rPr>
      <w:rFonts w:ascii="Arial" w:hAnsi="Arial" w:cs="Arial" w:eastAsia="Arial"/>
      <w:sz w:val="30"/>
      <w:szCs w:val="30"/>
    </w:rPr>
  </w:style>
  <w:style w:type="character" w:styleId="765">
    <w:name w:val="Heading 4 Char"/>
    <w:basedOn w:val="933"/>
    <w:link w:val="927"/>
    <w:uiPriority w:val="9"/>
    <w:rPr>
      <w:rFonts w:ascii="Arial" w:hAnsi="Arial" w:cs="Arial" w:eastAsia="Arial"/>
      <w:b/>
      <w:bCs/>
      <w:sz w:val="26"/>
      <w:szCs w:val="26"/>
    </w:rPr>
  </w:style>
  <w:style w:type="character" w:styleId="766">
    <w:name w:val="Heading 5 Char"/>
    <w:basedOn w:val="933"/>
    <w:link w:val="928"/>
    <w:uiPriority w:val="9"/>
    <w:rPr>
      <w:rFonts w:ascii="Arial" w:hAnsi="Arial" w:cs="Arial" w:eastAsia="Arial"/>
      <w:b/>
      <w:bCs/>
      <w:sz w:val="24"/>
      <w:szCs w:val="24"/>
    </w:rPr>
  </w:style>
  <w:style w:type="character" w:styleId="767">
    <w:name w:val="Heading 6 Char"/>
    <w:basedOn w:val="933"/>
    <w:link w:val="929"/>
    <w:uiPriority w:val="9"/>
    <w:rPr>
      <w:rFonts w:ascii="Arial" w:hAnsi="Arial" w:cs="Arial" w:eastAsia="Arial"/>
      <w:b/>
      <w:bCs/>
      <w:sz w:val="22"/>
      <w:szCs w:val="22"/>
    </w:rPr>
  </w:style>
  <w:style w:type="character" w:styleId="768">
    <w:name w:val="Heading 7 Char"/>
    <w:basedOn w:val="933"/>
    <w:link w:val="9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9">
    <w:name w:val="Heading 8 Char"/>
    <w:basedOn w:val="933"/>
    <w:link w:val="931"/>
    <w:uiPriority w:val="9"/>
    <w:rPr>
      <w:rFonts w:ascii="Arial" w:hAnsi="Arial" w:cs="Arial" w:eastAsia="Arial"/>
      <w:i/>
      <w:iCs/>
      <w:sz w:val="22"/>
      <w:szCs w:val="22"/>
    </w:rPr>
  </w:style>
  <w:style w:type="character" w:styleId="770">
    <w:name w:val="Heading 9 Char"/>
    <w:basedOn w:val="933"/>
    <w:link w:val="932"/>
    <w:uiPriority w:val="9"/>
    <w:rPr>
      <w:rFonts w:ascii="Arial" w:hAnsi="Arial" w:cs="Arial" w:eastAsia="Arial"/>
      <w:i/>
      <w:iCs/>
      <w:sz w:val="21"/>
      <w:szCs w:val="21"/>
    </w:rPr>
  </w:style>
  <w:style w:type="paragraph" w:styleId="771">
    <w:name w:val="No Spacing"/>
    <w:uiPriority w:val="1"/>
    <w:qFormat/>
    <w:pPr>
      <w:spacing w:before="0" w:after="0" w:line="240" w:lineRule="auto"/>
    </w:pPr>
  </w:style>
  <w:style w:type="character" w:styleId="772">
    <w:name w:val="Title Char"/>
    <w:basedOn w:val="933"/>
    <w:link w:val="964"/>
    <w:uiPriority w:val="10"/>
    <w:rPr>
      <w:sz w:val="48"/>
      <w:szCs w:val="48"/>
    </w:rPr>
  </w:style>
  <w:style w:type="character" w:styleId="773">
    <w:name w:val="Subtitle Char"/>
    <w:basedOn w:val="933"/>
    <w:link w:val="983"/>
    <w:uiPriority w:val="11"/>
    <w:rPr>
      <w:sz w:val="24"/>
      <w:szCs w:val="24"/>
    </w:rPr>
  </w:style>
  <w:style w:type="paragraph" w:styleId="774">
    <w:name w:val="Quote"/>
    <w:basedOn w:val="923"/>
    <w:next w:val="923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3"/>
    <w:next w:val="923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character" w:styleId="778">
    <w:name w:val="Header Char"/>
    <w:basedOn w:val="933"/>
    <w:link w:val="953"/>
    <w:uiPriority w:val="99"/>
  </w:style>
  <w:style w:type="character" w:styleId="779">
    <w:name w:val="Footer Char"/>
    <w:basedOn w:val="933"/>
    <w:link w:val="955"/>
    <w:uiPriority w:val="99"/>
  </w:style>
  <w:style w:type="paragraph" w:styleId="780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55"/>
    <w:uiPriority w:val="99"/>
  </w:style>
  <w:style w:type="table" w:styleId="782">
    <w:name w:val="Table Grid Light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 &amp; 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Bordered &amp; 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Bordered &amp; 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Bordered &amp; 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Bordered &amp; 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Bordered &amp; 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 w:themeColor="hyperlink"/>
      <w:u w:val="single"/>
    </w:rPr>
  </w:style>
  <w:style w:type="character" w:styleId="908">
    <w:name w:val="Footnote Text Char"/>
    <w:link w:val="969"/>
    <w:uiPriority w:val="99"/>
    <w:rPr>
      <w:sz w:val="18"/>
    </w:rPr>
  </w:style>
  <w:style w:type="character" w:styleId="909">
    <w:name w:val="footnote reference"/>
    <w:basedOn w:val="933"/>
    <w:uiPriority w:val="99"/>
    <w:unhideWhenUsed/>
    <w:rPr>
      <w:vertAlign w:val="superscript"/>
    </w:rPr>
  </w:style>
  <w:style w:type="character" w:styleId="910">
    <w:name w:val="Endnote Text Char"/>
    <w:link w:val="975"/>
    <w:uiPriority w:val="99"/>
    <w:rPr>
      <w:sz w:val="20"/>
    </w:rPr>
  </w:style>
  <w:style w:type="character" w:styleId="911">
    <w:name w:val="endnote reference"/>
    <w:basedOn w:val="933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  <w:pPr>
      <w:jc w:val="left"/>
      <w:spacing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24">
    <w:name w:val="Heading 1"/>
    <w:basedOn w:val="923"/>
    <w:next w:val="923"/>
    <w:link w:val="936"/>
    <w:qFormat/>
    <w:pPr>
      <w:jc w:val="center"/>
      <w:spacing w:before="108" w:after="108"/>
      <w:outlineLvl w:val="0"/>
    </w:pPr>
    <w:rPr>
      <w:b/>
      <w:bCs/>
      <w:color w:val="000080"/>
    </w:rPr>
  </w:style>
  <w:style w:type="paragraph" w:styleId="925">
    <w:name w:val="Heading 2"/>
    <w:basedOn w:val="923"/>
    <w:next w:val="923"/>
    <w:link w:val="937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26">
    <w:name w:val="Heading 3"/>
    <w:basedOn w:val="923"/>
    <w:next w:val="923"/>
    <w:link w:val="938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27">
    <w:name w:val="Heading 4"/>
    <w:basedOn w:val="923"/>
    <w:next w:val="923"/>
    <w:link w:val="93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28">
    <w:name w:val="Heading 5"/>
    <w:basedOn w:val="923"/>
    <w:next w:val="923"/>
    <w:link w:val="940"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29">
    <w:name w:val="Heading 6"/>
    <w:basedOn w:val="923"/>
    <w:next w:val="923"/>
    <w:link w:val="941"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930">
    <w:name w:val="Heading 7"/>
    <w:basedOn w:val="923"/>
    <w:next w:val="923"/>
    <w:link w:val="942"/>
    <w:unhideWhenUsed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931">
    <w:name w:val="Heading 8"/>
    <w:basedOn w:val="923"/>
    <w:next w:val="923"/>
    <w:link w:val="943"/>
    <w:qFormat/>
    <w:pPr>
      <w:ind w:firstLine="709"/>
      <w:jc w:val="center"/>
      <w:keepNext/>
      <w:outlineLvl w:val="7"/>
    </w:pPr>
    <w:rPr>
      <w:rFonts w:ascii="Times New Roman" w:hAnsi="Times New Roman" w:cs="Times New Roman" w:eastAsia="Times New Roman"/>
      <w:b/>
      <w:bCs/>
      <w:sz w:val="36"/>
    </w:rPr>
  </w:style>
  <w:style w:type="paragraph" w:styleId="932">
    <w:name w:val="Heading 9"/>
    <w:basedOn w:val="923"/>
    <w:next w:val="923"/>
    <w:link w:val="944"/>
    <w:qFormat/>
    <w:pPr>
      <w:ind w:firstLine="709"/>
      <w:jc w:val="right"/>
      <w:keepNext/>
      <w:outlineLvl w:val="8"/>
    </w:pPr>
    <w:rPr>
      <w:rFonts w:ascii="Times New Roman" w:hAnsi="Times New Roman" w:cs="Times New Roman" w:eastAsia="Times New Roman"/>
      <w:sz w:val="28"/>
    </w:rPr>
  </w:style>
  <w:style w:type="character" w:styleId="933" w:default="1">
    <w:name w:val="Default Paragraph Font"/>
    <w:uiPriority w:val="1"/>
    <w:semiHidden/>
    <w:unhideWhenUsed/>
  </w:style>
  <w:style w:type="table" w:styleId="9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5" w:default="1">
    <w:name w:val="No List"/>
    <w:uiPriority w:val="99"/>
    <w:semiHidden/>
    <w:unhideWhenUsed/>
  </w:style>
  <w:style w:type="character" w:styleId="936" w:customStyle="1">
    <w:name w:val="Заголовок 1 Знак"/>
    <w:basedOn w:val="933"/>
    <w:link w:val="924"/>
    <w:rPr>
      <w:rFonts w:ascii="Arial" w:hAnsi="Arial" w:cs="Arial" w:eastAsiaTheme="minorEastAsia"/>
      <w:b/>
      <w:bCs/>
      <w:color w:val="000080"/>
      <w:sz w:val="24"/>
      <w:szCs w:val="24"/>
      <w:lang w:eastAsia="ru-RU"/>
    </w:rPr>
  </w:style>
  <w:style w:type="character" w:styleId="937" w:customStyle="1">
    <w:name w:val="Заголовок 2 Знак"/>
    <w:basedOn w:val="933"/>
    <w:link w:val="92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38" w:customStyle="1">
    <w:name w:val="Заголовок 3 Знак"/>
    <w:basedOn w:val="933"/>
    <w:link w:val="926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character" w:styleId="939" w:customStyle="1">
    <w:name w:val="Заголовок 4 Знак"/>
    <w:basedOn w:val="933"/>
    <w:link w:val="927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940" w:customStyle="1">
    <w:name w:val="Заголовок 5 Знак"/>
    <w:basedOn w:val="933"/>
    <w:link w:val="928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941" w:customStyle="1">
    <w:name w:val="Заголовок 6 Знак"/>
    <w:basedOn w:val="933"/>
    <w:link w:val="929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942" w:customStyle="1">
    <w:name w:val="Заголовок 7 Знак"/>
    <w:basedOn w:val="933"/>
    <w:link w:val="930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  <w:lang w:eastAsia="ru-RU"/>
    </w:rPr>
  </w:style>
  <w:style w:type="character" w:styleId="943" w:customStyle="1">
    <w:name w:val="Заголовок 8 Знак"/>
    <w:basedOn w:val="933"/>
    <w:link w:val="931"/>
    <w:rPr>
      <w:rFonts w:cs="Times New Roman" w:eastAsia="Times New Roman"/>
      <w:b/>
      <w:bCs/>
      <w:sz w:val="36"/>
      <w:szCs w:val="24"/>
      <w:lang w:eastAsia="ru-RU"/>
    </w:rPr>
  </w:style>
  <w:style w:type="character" w:styleId="944" w:customStyle="1">
    <w:name w:val="Заголовок 9 Знак"/>
    <w:basedOn w:val="933"/>
    <w:link w:val="932"/>
    <w:rPr>
      <w:rFonts w:cs="Times New Roman" w:eastAsia="Times New Roman"/>
      <w:szCs w:val="24"/>
      <w:lang w:eastAsia="ru-RU"/>
    </w:rPr>
  </w:style>
  <w:style w:type="character" w:styleId="945" w:customStyle="1">
    <w:name w:val="Цветовое выделение"/>
    <w:rPr>
      <w:b/>
      <w:color w:val="000080"/>
    </w:rPr>
  </w:style>
  <w:style w:type="character" w:styleId="946" w:customStyle="1">
    <w:name w:val="Гипертекстовая ссылка"/>
    <w:basedOn w:val="945"/>
    <w:rPr>
      <w:rFonts w:cs="Times New Roman"/>
      <w:b/>
      <w:color w:val="008000"/>
    </w:rPr>
  </w:style>
  <w:style w:type="paragraph" w:styleId="947" w:customStyle="1">
    <w:name w:val="Нормальный (таблица)"/>
    <w:basedOn w:val="923"/>
    <w:next w:val="923"/>
    <w:uiPriority w:val="99"/>
    <w:pPr>
      <w:jc w:val="both"/>
    </w:pPr>
  </w:style>
  <w:style w:type="paragraph" w:styleId="948">
    <w:name w:val="Body Text"/>
    <w:basedOn w:val="923"/>
    <w:link w:val="949"/>
    <w:uiPriority w:val="99"/>
    <w:pPr>
      <w:shd w:val="clear" w:color="auto" w:fill="ffffff"/>
      <w:widowControl/>
    </w:pPr>
    <w:rPr>
      <w:rFonts w:ascii="Times New Roman" w:hAnsi="Times New Roman" w:cs="Times New Roman"/>
      <w:color w:val="000000"/>
      <w:sz w:val="28"/>
      <w:szCs w:val="14"/>
    </w:rPr>
  </w:style>
  <w:style w:type="character" w:styleId="949" w:customStyle="1">
    <w:name w:val="Основной текст Знак"/>
    <w:basedOn w:val="933"/>
    <w:link w:val="948"/>
    <w:uiPriority w:val="99"/>
    <w:rPr>
      <w:rFonts w:cs="Times New Roman" w:eastAsiaTheme="minorEastAsia"/>
      <w:color w:val="000000"/>
      <w:szCs w:val="14"/>
      <w:shd w:val="clear" w:color="auto" w:fill="ffffff"/>
      <w:lang w:eastAsia="ru-RU"/>
    </w:rPr>
  </w:style>
  <w:style w:type="paragraph" w:styleId="950">
    <w:name w:val="Body Text Indent"/>
    <w:basedOn w:val="923"/>
    <w:link w:val="951"/>
    <w:unhideWhenUsed/>
    <w:pPr>
      <w:ind w:left="283"/>
      <w:spacing w:after="120"/>
    </w:pPr>
  </w:style>
  <w:style w:type="character" w:styleId="951" w:customStyle="1">
    <w:name w:val="Основной текст с отступом Знак"/>
    <w:basedOn w:val="933"/>
    <w:link w:val="950"/>
    <w:rPr>
      <w:rFonts w:ascii="Arial" w:hAnsi="Arial" w:cs="Arial" w:eastAsiaTheme="minorEastAsia"/>
      <w:sz w:val="24"/>
      <w:szCs w:val="24"/>
      <w:lang w:eastAsia="ru-RU"/>
    </w:rPr>
  </w:style>
  <w:style w:type="paragraph" w:styleId="952" w:customStyle="1">
    <w:name w:val="Заголовок статьи"/>
    <w:basedOn w:val="923"/>
    <w:next w:val="923"/>
    <w:uiPriority w:val="99"/>
    <w:pPr>
      <w:ind w:left="1612" w:hanging="892"/>
      <w:jc w:val="both"/>
      <w:widowControl/>
    </w:pPr>
    <w:rPr>
      <w:rFonts w:eastAsiaTheme="minorHAnsi"/>
      <w:lang w:eastAsia="en-US"/>
    </w:rPr>
  </w:style>
  <w:style w:type="paragraph" w:styleId="953">
    <w:name w:val="Header"/>
    <w:basedOn w:val="923"/>
    <w:link w:val="954"/>
    <w:unhideWhenUsed/>
    <w:pPr>
      <w:tabs>
        <w:tab w:val="center" w:pos="4677" w:leader="none"/>
        <w:tab w:val="right" w:pos="9355" w:leader="none"/>
      </w:tabs>
    </w:pPr>
  </w:style>
  <w:style w:type="character" w:styleId="954" w:customStyle="1">
    <w:name w:val="Верхний колонтитул Знак"/>
    <w:basedOn w:val="933"/>
    <w:link w:val="953"/>
    <w:rPr>
      <w:rFonts w:ascii="Arial" w:hAnsi="Arial" w:cs="Arial" w:eastAsiaTheme="minorEastAsia"/>
      <w:sz w:val="24"/>
      <w:szCs w:val="24"/>
      <w:lang w:eastAsia="ru-RU"/>
    </w:rPr>
  </w:style>
  <w:style w:type="paragraph" w:styleId="955">
    <w:name w:val="Footer"/>
    <w:basedOn w:val="923"/>
    <w:link w:val="956"/>
    <w:unhideWhenUsed/>
    <w:pPr>
      <w:tabs>
        <w:tab w:val="center" w:pos="4677" w:leader="none"/>
        <w:tab w:val="right" w:pos="9355" w:leader="none"/>
      </w:tabs>
    </w:pPr>
  </w:style>
  <w:style w:type="character" w:styleId="956" w:customStyle="1">
    <w:name w:val="Нижний колонтитул Знак"/>
    <w:basedOn w:val="933"/>
    <w:link w:val="955"/>
    <w:rPr>
      <w:rFonts w:ascii="Arial" w:hAnsi="Arial" w:cs="Arial" w:eastAsiaTheme="minorEastAsia"/>
      <w:sz w:val="24"/>
      <w:szCs w:val="24"/>
      <w:lang w:eastAsia="ru-RU"/>
    </w:rPr>
  </w:style>
  <w:style w:type="paragraph" w:styleId="957">
    <w:name w:val="List Paragraph"/>
    <w:basedOn w:val="923"/>
    <w:uiPriority w:val="34"/>
    <w:qFormat/>
    <w:pPr>
      <w:contextualSpacing/>
      <w:ind w:left="720"/>
    </w:pPr>
  </w:style>
  <w:style w:type="paragraph" w:styleId="958">
    <w:name w:val="Body Text Indent 2"/>
    <w:basedOn w:val="923"/>
    <w:link w:val="959"/>
    <w:unhideWhenUsed/>
    <w:pPr>
      <w:ind w:left="283"/>
      <w:spacing w:after="120" w:line="480" w:lineRule="auto"/>
    </w:pPr>
  </w:style>
  <w:style w:type="character" w:styleId="959" w:customStyle="1">
    <w:name w:val="Основной текст с отступом 2 Знак"/>
    <w:basedOn w:val="933"/>
    <w:link w:val="958"/>
    <w:rPr>
      <w:rFonts w:ascii="Arial" w:hAnsi="Arial" w:cs="Arial" w:eastAsiaTheme="minorEastAsia"/>
      <w:sz w:val="24"/>
      <w:szCs w:val="24"/>
      <w:lang w:eastAsia="ru-RU"/>
    </w:rPr>
  </w:style>
  <w:style w:type="paragraph" w:styleId="960">
    <w:name w:val="Body Text Indent 3"/>
    <w:basedOn w:val="923"/>
    <w:link w:val="961"/>
    <w:unhideWhenUsed/>
    <w:pPr>
      <w:ind w:left="283"/>
      <w:spacing w:after="120"/>
    </w:pPr>
    <w:rPr>
      <w:sz w:val="16"/>
      <w:szCs w:val="16"/>
    </w:rPr>
  </w:style>
  <w:style w:type="character" w:styleId="961" w:customStyle="1">
    <w:name w:val="Основной текст с отступом 3 Знак"/>
    <w:basedOn w:val="933"/>
    <w:link w:val="960"/>
    <w:rPr>
      <w:rFonts w:ascii="Arial" w:hAnsi="Arial" w:cs="Arial" w:eastAsiaTheme="minorEastAsia"/>
      <w:sz w:val="16"/>
      <w:szCs w:val="16"/>
      <w:lang w:eastAsia="ru-RU"/>
    </w:rPr>
  </w:style>
  <w:style w:type="paragraph" w:styleId="962" w:customStyle="1">
    <w:name w:val="Обычный1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963">
    <w:name w:val="page number"/>
    <w:basedOn w:val="933"/>
  </w:style>
  <w:style w:type="paragraph" w:styleId="964">
    <w:name w:val="Title"/>
    <w:basedOn w:val="923"/>
    <w:link w:val="965"/>
    <w:qFormat/>
    <w:pPr>
      <w:jc w:val="center"/>
      <w:widowControl/>
    </w:pPr>
    <w:rPr>
      <w:rFonts w:ascii="Times New Roman" w:hAnsi="Times New Roman" w:cs="Times New Roman" w:eastAsia="Times New Roman"/>
      <w:caps/>
      <w:sz w:val="28"/>
    </w:rPr>
  </w:style>
  <w:style w:type="character" w:styleId="965" w:customStyle="1">
    <w:name w:val="Название Знак"/>
    <w:basedOn w:val="933"/>
    <w:link w:val="964"/>
    <w:rPr>
      <w:rFonts w:cs="Times New Roman" w:eastAsia="Times New Roman"/>
      <w:caps/>
      <w:szCs w:val="24"/>
      <w:lang w:eastAsia="ru-RU"/>
    </w:rPr>
  </w:style>
  <w:style w:type="character" w:styleId="966" w:customStyle="1">
    <w:name w:val="Схема документа Знак"/>
    <w:basedOn w:val="933"/>
    <w:link w:val="967"/>
    <w:semiHidden/>
    <w:rPr>
      <w:rFonts w:ascii="Tahoma" w:hAnsi="Tahoma" w:cs="Tahoma" w:eastAsia="Times New Roman"/>
      <w:sz w:val="24"/>
      <w:szCs w:val="24"/>
      <w:shd w:val="clear" w:color="auto" w:fill="000080"/>
      <w:lang w:eastAsia="ru-RU"/>
    </w:rPr>
  </w:style>
  <w:style w:type="paragraph" w:styleId="967">
    <w:name w:val="Document Map"/>
    <w:basedOn w:val="923"/>
    <w:link w:val="966"/>
    <w:semiHidden/>
    <w:pPr>
      <w:shd w:val="clear" w:color="auto" w:fill="000080"/>
      <w:widowControl/>
    </w:pPr>
    <w:rPr>
      <w:rFonts w:ascii="Tahoma" w:hAnsi="Tahoma" w:cs="Tahoma" w:eastAsia="Times New Roman"/>
    </w:rPr>
  </w:style>
  <w:style w:type="character" w:styleId="968" w:customStyle="1">
    <w:name w:val="Текст сноски Знак"/>
    <w:basedOn w:val="933"/>
    <w:link w:val="969"/>
    <w:semiHidden/>
    <w:rPr>
      <w:rFonts w:cs="Times New Roman" w:eastAsia="Times New Roman"/>
      <w:sz w:val="20"/>
      <w:szCs w:val="20"/>
      <w:lang w:eastAsia="ru-RU"/>
    </w:rPr>
  </w:style>
  <w:style w:type="paragraph" w:styleId="969">
    <w:name w:val="footnote text"/>
    <w:basedOn w:val="923"/>
    <w:link w:val="968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970">
    <w:name w:val="Body Text 2"/>
    <w:basedOn w:val="923"/>
    <w:link w:val="971"/>
    <w:pPr>
      <w:spacing w:after="120" w:line="480" w:lineRule="auto"/>
      <w:widowControl/>
    </w:pPr>
    <w:rPr>
      <w:rFonts w:ascii="Times New Roman" w:hAnsi="Times New Roman" w:cs="Times New Roman" w:eastAsia="Times New Roman"/>
    </w:rPr>
  </w:style>
  <w:style w:type="character" w:styleId="971" w:customStyle="1">
    <w:name w:val="Основной текст 2 Знак"/>
    <w:basedOn w:val="933"/>
    <w:link w:val="970"/>
    <w:rPr>
      <w:rFonts w:cs="Times New Roman" w:eastAsia="Times New Roman"/>
      <w:sz w:val="24"/>
      <w:szCs w:val="24"/>
      <w:lang w:eastAsia="ru-RU"/>
    </w:rPr>
  </w:style>
  <w:style w:type="paragraph" w:styleId="972">
    <w:name w:val="Body Text 3"/>
    <w:basedOn w:val="923"/>
    <w:link w:val="973"/>
    <w:pPr>
      <w:spacing w:after="120"/>
      <w:widowControl/>
    </w:pPr>
    <w:rPr>
      <w:rFonts w:ascii="Times New Roman" w:hAnsi="Times New Roman" w:cs="Times New Roman" w:eastAsia="Times New Roman"/>
      <w:sz w:val="16"/>
      <w:szCs w:val="16"/>
    </w:rPr>
  </w:style>
  <w:style w:type="character" w:styleId="973" w:customStyle="1">
    <w:name w:val="Основной текст 3 Знак"/>
    <w:basedOn w:val="933"/>
    <w:link w:val="972"/>
    <w:rPr>
      <w:rFonts w:cs="Times New Roman" w:eastAsia="Times New Roman"/>
      <w:sz w:val="16"/>
      <w:szCs w:val="16"/>
      <w:lang w:eastAsia="ru-RU"/>
    </w:rPr>
  </w:style>
  <w:style w:type="character" w:styleId="974" w:customStyle="1">
    <w:name w:val="Текст концевой сноски Знак"/>
    <w:basedOn w:val="933"/>
    <w:link w:val="975"/>
    <w:semiHidden/>
    <w:rPr>
      <w:rFonts w:cs="Times New Roman" w:eastAsia="Times New Roman"/>
      <w:sz w:val="20"/>
      <w:szCs w:val="20"/>
      <w:lang w:eastAsia="ru-RU"/>
    </w:rPr>
  </w:style>
  <w:style w:type="paragraph" w:styleId="975">
    <w:name w:val="endnote text"/>
    <w:basedOn w:val="923"/>
    <w:link w:val="974"/>
    <w:semiHidden/>
    <w:pPr>
      <w:widowControl/>
    </w:pPr>
    <w:rPr>
      <w:rFonts w:ascii="Times New Roman" w:hAnsi="Times New Roman" w:cs="Times New Roman" w:eastAsia="Times New Roman"/>
      <w:sz w:val="20"/>
      <w:szCs w:val="20"/>
    </w:rPr>
  </w:style>
  <w:style w:type="paragraph" w:styleId="976" w:customStyle="1">
    <w:name w:val="Обычный2"/>
    <w:pPr>
      <w:jc w:val="left"/>
      <w:spacing w:line="240" w:lineRule="auto"/>
      <w:widowControl w:val="off"/>
    </w:pPr>
    <w:rPr>
      <w:rFonts w:cs="Times New Roman" w:eastAsia="Times New Roman"/>
      <w:sz w:val="20"/>
      <w:szCs w:val="20"/>
      <w:lang w:val="en-US" w:eastAsia="ru-RU"/>
    </w:rPr>
  </w:style>
  <w:style w:type="character" w:styleId="977" w:customStyle="1">
    <w:name w:val="Знак Знак"/>
    <w:basedOn w:val="933"/>
    <w:rPr>
      <w:sz w:val="24"/>
      <w:szCs w:val="24"/>
      <w:lang w:val="ru-RU" w:bidi="ar-SA" w:eastAsia="ru-RU"/>
    </w:rPr>
  </w:style>
  <w:style w:type="character" w:styleId="978" w:customStyle="1">
    <w:name w:val="Текст выноски Знак"/>
    <w:basedOn w:val="933"/>
    <w:link w:val="97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79">
    <w:name w:val="Balloon Text"/>
    <w:basedOn w:val="923"/>
    <w:link w:val="978"/>
    <w:semiHidden/>
    <w:pPr>
      <w:widowControl/>
    </w:pPr>
    <w:rPr>
      <w:rFonts w:ascii="Tahoma" w:hAnsi="Tahoma" w:cs="Tahoma" w:eastAsia="Times New Roman"/>
      <w:sz w:val="16"/>
      <w:szCs w:val="16"/>
    </w:rPr>
  </w:style>
  <w:style w:type="paragraph" w:styleId="980" w:customStyle="1">
    <w:name w:val="Нумерация"/>
    <w:basedOn w:val="923"/>
    <w:pPr>
      <w:jc w:val="center"/>
      <w:widowControl/>
    </w:pPr>
    <w:rPr>
      <w:rFonts w:ascii="Times New Roman" w:hAnsi="Times New Roman" w:cs="Times New Roman" w:eastAsia="Times New Roman"/>
      <w:sz w:val="22"/>
      <w:szCs w:val="22"/>
    </w:rPr>
  </w:style>
  <w:style w:type="paragraph" w:styleId="981" w:customStyle="1">
    <w:name w:val="Заголовок 3а"/>
    <w:basedOn w:val="923"/>
    <w:next w:val="982"/>
    <w:pPr>
      <w:spacing w:before="240" w:after="60"/>
    </w:pPr>
    <w:rPr>
      <w:rFonts w:ascii="Times New Roman" w:hAnsi="Times New Roman" w:cs="Times New Roman" w:eastAsia="Times New Roman"/>
      <w:b/>
      <w:sz w:val="22"/>
      <w:szCs w:val="20"/>
    </w:rPr>
  </w:style>
  <w:style w:type="paragraph" w:styleId="982">
    <w:name w:val="Normal Indent"/>
    <w:basedOn w:val="923"/>
    <w:pPr>
      <w:ind w:left="720"/>
      <w:widowControl/>
    </w:pPr>
    <w:rPr>
      <w:rFonts w:ascii="Times New Roman" w:hAnsi="Times New Roman" w:cs="Times New Roman" w:eastAsia="Times New Roman"/>
      <w:sz w:val="22"/>
      <w:szCs w:val="20"/>
    </w:rPr>
  </w:style>
  <w:style w:type="paragraph" w:styleId="983">
    <w:name w:val="Subtitle"/>
    <w:basedOn w:val="923"/>
    <w:link w:val="984"/>
    <w:qFormat/>
    <w:pPr>
      <w:jc w:val="center"/>
      <w:widowControl/>
      <w:outlineLvl w:val="0"/>
    </w:pPr>
    <w:rPr>
      <w:rFonts w:ascii="Times New Roman" w:hAnsi="Times New Roman" w:cs="Times New Roman" w:eastAsia="Times New Roman"/>
      <w:b/>
      <w:sz w:val="28"/>
      <w:szCs w:val="28"/>
    </w:rPr>
  </w:style>
  <w:style w:type="character" w:styleId="984" w:customStyle="1">
    <w:name w:val="Подзаголовок Знак"/>
    <w:basedOn w:val="933"/>
    <w:link w:val="983"/>
    <w:rPr>
      <w:rFonts w:cs="Times New Roman" w:eastAsia="Times New Roman"/>
      <w:b/>
      <w:szCs w:val="28"/>
      <w:lang w:eastAsia="ru-RU"/>
    </w:rPr>
  </w:style>
  <w:style w:type="paragraph" w:styleId="985" w:customStyle="1">
    <w:name w:val="Знак Знак Знак"/>
    <w:basedOn w:val="923"/>
    <w:pPr>
      <w:spacing w:after="160" w:line="240" w:lineRule="exact"/>
      <w:widowControl/>
    </w:pPr>
    <w:rPr>
      <w:rFonts w:ascii="Verdana" w:hAnsi="Verdana" w:cs="Times New Roman" w:eastAsia="Times New Roman"/>
      <w:sz w:val="20"/>
      <w:szCs w:val="20"/>
      <w:lang w:val="en-US" w:eastAsia="en-US"/>
    </w:rPr>
  </w:style>
  <w:style w:type="paragraph" w:styleId="986" w:customStyle="1">
    <w:name w:val="подпись"/>
    <w:basedOn w:val="923"/>
    <w:pPr>
      <w:jc w:val="right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87" w:customStyle="1">
    <w:name w:val="На номер"/>
    <w:basedOn w:val="923"/>
    <w:pPr>
      <w:widowControl/>
    </w:pPr>
    <w:rPr>
      <w:rFonts w:ascii="Times New Roman" w:hAnsi="Times New Roman" w:cs="Times New Roman" w:eastAsia="Times New Roman"/>
      <w:lang w:val="en-US"/>
    </w:rPr>
  </w:style>
  <w:style w:type="paragraph" w:styleId="988" w:customStyle="1">
    <w:name w:val="адрес"/>
    <w:basedOn w:val="923"/>
    <w:pPr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89" w:customStyle="1">
    <w:name w:val="уважаемый"/>
    <w:basedOn w:val="923"/>
    <w:pPr>
      <w:ind w:left="284" w:right="-284"/>
      <w:jc w:val="center"/>
      <w:widowControl/>
    </w:pPr>
    <w:rPr>
      <w:rFonts w:ascii="Times New Roman" w:hAnsi="Times New Roman" w:cs="Times New Roman" w:eastAsia="Times New Roman"/>
      <w:sz w:val="28"/>
      <w:szCs w:val="28"/>
    </w:rPr>
  </w:style>
  <w:style w:type="paragraph" w:styleId="990" w:customStyle="1">
    <w:name w:val="исполнитель"/>
    <w:basedOn w:val="923"/>
    <w:pPr>
      <w:ind w:firstLine="709"/>
      <w:jc w:val="both"/>
      <w:spacing w:line="360" w:lineRule="auto"/>
      <w:widowControl/>
    </w:pPr>
    <w:rPr>
      <w:rFonts w:ascii="Times New Roman" w:hAnsi="Times New Roman" w:cs="Times New Roman" w:eastAsia="Times New Roman"/>
    </w:rPr>
  </w:style>
  <w:style w:type="paragraph" w:styleId="991" w:customStyle="1">
    <w:name w:val="Должность1"/>
    <w:basedOn w:val="923"/>
    <w:pPr>
      <w:widowControl/>
    </w:pPr>
    <w:rPr>
      <w:rFonts w:ascii="Times New Roman" w:hAnsi="Times New Roman" w:cs="Times New Roman" w:eastAsia="Times New Roman"/>
      <w:sz w:val="28"/>
      <w:szCs w:val="28"/>
    </w:rPr>
  </w:style>
  <w:style w:type="table" w:styleId="992">
    <w:name w:val="Table Grid"/>
    <w:basedOn w:val="934"/>
    <w:uiPriority w:val="59"/>
    <w:pPr>
      <w:jc w:val="left"/>
      <w:spacing w:line="240" w:lineRule="auto"/>
      <w:widowControl w:val="off"/>
    </w:pPr>
    <w:rPr>
      <w:rFonts w:ascii="Arial" w:hAnsi="Arial" w:cs="Times New Roman"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858E-6EC6-41E4-B375-DEEC8EA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Админисрация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</dc:creator>
  <cp:revision>29</cp:revision>
  <dcterms:created xsi:type="dcterms:W3CDTF">2021-12-22T11:45:00Z</dcterms:created>
  <dcterms:modified xsi:type="dcterms:W3CDTF">2024-12-28T10:28:05Z</dcterms:modified>
</cp:coreProperties>
</file>